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6A40" w14:textId="50E22504" w:rsidR="005E2342" w:rsidRDefault="000768DC" w:rsidP="000768DC">
      <w:pPr>
        <w:jc w:val="center"/>
      </w:pPr>
      <w:r w:rsidRPr="000768DC">
        <w:rPr>
          <w:noProof/>
        </w:rPr>
        <w:drawing>
          <wp:inline distT="0" distB="0" distL="0" distR="0" wp14:anchorId="0EB2F0E2" wp14:editId="225DB5E4">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6F19532" w14:textId="77777777" w:rsidR="000768DC" w:rsidRDefault="000768DC">
      <w:pPr>
        <w:jc w:val="center"/>
      </w:pPr>
    </w:p>
    <w:p w14:paraId="4124EDB2" w14:textId="05375109" w:rsidR="005E2342" w:rsidRDefault="005E2342">
      <w:pPr>
        <w:pStyle w:val="CoverText"/>
        <w:jc w:val="left"/>
        <w:rPr>
          <w:bCs/>
          <w:sz w:val="20"/>
          <w:u w:val="none"/>
        </w:rPr>
      </w:pPr>
      <w:r>
        <w:rPr>
          <w:bCs/>
        </w:rPr>
        <w:t xml:space="preserve">Neutral Citation Number: </w:t>
      </w:r>
      <w:r w:rsidR="00640AE9">
        <w:rPr>
          <w:bCs/>
        </w:rPr>
        <w:t xml:space="preserve">[2020] </w:t>
      </w:r>
      <w:proofErr w:type="spellStart"/>
      <w:r w:rsidR="00640AE9">
        <w:rPr>
          <w:bCs/>
        </w:rPr>
        <w:t>EWHC</w:t>
      </w:r>
      <w:proofErr w:type="spellEnd"/>
      <w:r w:rsidR="00640AE9">
        <w:rPr>
          <w:bCs/>
        </w:rPr>
        <w:t xml:space="preserve"> 2096 (Admin)</w:t>
      </w:r>
      <w:r>
        <w:rPr>
          <w:bCs/>
        </w:rPr>
        <w:br/>
      </w:r>
    </w:p>
    <w:p w14:paraId="40BF9457" w14:textId="20B082FC" w:rsidR="005E2342" w:rsidRDefault="005E2342">
      <w:pPr>
        <w:pStyle w:val="CoverText"/>
        <w:rPr>
          <w:b/>
          <w:spacing w:val="-3"/>
        </w:rPr>
      </w:pPr>
      <w:r>
        <w:t xml:space="preserve">Case No: </w:t>
      </w:r>
      <w:r w:rsidR="00B06576">
        <w:t>CO/4609/2019</w:t>
      </w:r>
    </w:p>
    <w:p w14:paraId="10AA9CCF"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7C4E6472" w14:textId="77777777" w:rsidR="00B06576" w:rsidRDefault="00B06576">
      <w:pPr>
        <w:suppressAutoHyphens/>
        <w:rPr>
          <w:b/>
          <w:spacing w:val="-3"/>
          <w:u w:val="single"/>
        </w:rPr>
      </w:pPr>
      <w:r>
        <w:rPr>
          <w:b/>
          <w:spacing w:val="-3"/>
          <w:u w:val="single"/>
        </w:rPr>
        <w:t>QUEEN'S BENCH DIVISION</w:t>
      </w:r>
    </w:p>
    <w:p w14:paraId="667072E8" w14:textId="77777777" w:rsidR="005E2342" w:rsidRDefault="00B06576">
      <w:pPr>
        <w:suppressAutoHyphens/>
        <w:rPr>
          <w:b/>
          <w:spacing w:val="-3"/>
          <w:u w:val="single"/>
        </w:rPr>
      </w:pPr>
      <w:r>
        <w:rPr>
          <w:b/>
          <w:spacing w:val="-3"/>
          <w:u w:val="single"/>
        </w:rPr>
        <w:t>ADMINISTRATIVE COURT</w:t>
      </w:r>
    </w:p>
    <w:p w14:paraId="0F114A3F" w14:textId="77777777" w:rsidR="005E2342" w:rsidRDefault="005E2342">
      <w:pPr>
        <w:pStyle w:val="CoverText"/>
      </w:pPr>
      <w:r>
        <w:t>Royal Courts of Justice</w:t>
      </w:r>
    </w:p>
    <w:p w14:paraId="2559FEB9" w14:textId="77777777" w:rsidR="005E2342" w:rsidRDefault="005E2342">
      <w:pPr>
        <w:pStyle w:val="CoverText"/>
      </w:pPr>
      <w:r>
        <w:t>Strand, London, WC2A 2LL</w:t>
      </w:r>
    </w:p>
    <w:p w14:paraId="088DD3A8" w14:textId="77777777" w:rsidR="005E2342" w:rsidRDefault="005E2342">
      <w:pPr>
        <w:suppressAutoHyphens/>
        <w:jc w:val="right"/>
        <w:rPr>
          <w:spacing w:val="-3"/>
          <w:u w:val="single"/>
        </w:rPr>
      </w:pPr>
    </w:p>
    <w:p w14:paraId="43FD7C58" w14:textId="1C19BCA7" w:rsidR="005E2342" w:rsidRDefault="005E2342">
      <w:pPr>
        <w:pStyle w:val="CoverText"/>
        <w:rPr>
          <w:b/>
        </w:rPr>
      </w:pPr>
      <w:r>
        <w:t xml:space="preserve">Date: </w:t>
      </w:r>
      <w:r w:rsidR="00961034">
        <w:t>31/07/2020</w:t>
      </w:r>
    </w:p>
    <w:p w14:paraId="6E980B2A" w14:textId="77777777" w:rsidR="005E2342" w:rsidRDefault="005E2342">
      <w:pPr>
        <w:suppressAutoHyphens/>
        <w:rPr>
          <w:spacing w:val="-3"/>
        </w:rPr>
      </w:pPr>
    </w:p>
    <w:p w14:paraId="59F14A3C" w14:textId="77777777" w:rsidR="005E2342" w:rsidRDefault="005E2342">
      <w:pPr>
        <w:suppressAutoHyphens/>
        <w:jc w:val="center"/>
        <w:rPr>
          <w:spacing w:val="-3"/>
        </w:rPr>
      </w:pPr>
      <w:r>
        <w:rPr>
          <w:b/>
          <w:spacing w:val="-3"/>
        </w:rPr>
        <w:t>Before</w:t>
      </w:r>
      <w:r>
        <w:rPr>
          <w:spacing w:val="-3"/>
        </w:rPr>
        <w:t xml:space="preserve"> :</w:t>
      </w:r>
    </w:p>
    <w:p w14:paraId="18B9C2EE" w14:textId="77777777" w:rsidR="005E2342" w:rsidRDefault="005E2342">
      <w:pPr>
        <w:suppressAutoHyphens/>
        <w:jc w:val="center"/>
        <w:rPr>
          <w:spacing w:val="-3"/>
        </w:rPr>
      </w:pPr>
    </w:p>
    <w:p w14:paraId="2977E3DA" w14:textId="5D38C557" w:rsidR="005E2342" w:rsidRDefault="00B0657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EADY DBE</w:t>
      </w:r>
    </w:p>
    <w:p w14:paraId="776CEF4B" w14:textId="77777777" w:rsidR="005E2342" w:rsidRDefault="005E2342">
      <w:pPr>
        <w:suppressAutoHyphens/>
        <w:jc w:val="center"/>
        <w:rPr>
          <w:spacing w:val="-3"/>
        </w:rPr>
      </w:pPr>
      <w:r>
        <w:rPr>
          <w:spacing w:val="-3"/>
        </w:rPr>
        <w:t>- - - - - - - - - - - - - - - - - - - - -</w:t>
      </w:r>
    </w:p>
    <w:p w14:paraId="29250CEE" w14:textId="77777777" w:rsidR="005E2342" w:rsidRDefault="005E2342">
      <w:pPr>
        <w:suppressAutoHyphens/>
        <w:jc w:val="center"/>
        <w:rPr>
          <w:b/>
          <w:spacing w:val="-3"/>
        </w:rPr>
      </w:pPr>
      <w:r>
        <w:rPr>
          <w:b/>
          <w:spacing w:val="-3"/>
        </w:rPr>
        <w:t>Between :</w:t>
      </w:r>
    </w:p>
    <w:p w14:paraId="0D6DC388"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43245ADE" w14:textId="77777777">
        <w:trPr>
          <w:jc w:val="center"/>
        </w:trPr>
        <w:tc>
          <w:tcPr>
            <w:tcW w:w="1701" w:type="dxa"/>
          </w:tcPr>
          <w:p w14:paraId="46F2ED4E" w14:textId="77777777" w:rsidR="005E2342" w:rsidRDefault="005E2342">
            <w:pPr>
              <w:suppressAutoHyphens/>
              <w:rPr>
                <w:b/>
                <w:spacing w:val="-3"/>
              </w:rPr>
            </w:pPr>
          </w:p>
        </w:tc>
        <w:tc>
          <w:tcPr>
            <w:tcW w:w="5333" w:type="dxa"/>
          </w:tcPr>
          <w:p w14:paraId="357C39BA" w14:textId="77777777" w:rsidR="005E2342" w:rsidRDefault="00B06576">
            <w:pPr>
              <w:suppressAutoHyphens/>
              <w:jc w:val="center"/>
              <w:rPr>
                <w:b/>
                <w:spacing w:val="-3"/>
              </w:rPr>
            </w:pPr>
            <w:r>
              <w:rPr>
                <w:b/>
                <w:spacing w:val="-3"/>
              </w:rPr>
              <w:t>THE QUEEN (on the application of KATE HARRISON AND OTHERS)</w:t>
            </w:r>
          </w:p>
          <w:p w14:paraId="7086AC50" w14:textId="720E9BCF" w:rsidR="00B06576" w:rsidRDefault="00B06576">
            <w:pPr>
              <w:suppressAutoHyphens/>
              <w:jc w:val="center"/>
              <w:rPr>
                <w:b/>
                <w:spacing w:val="-3"/>
              </w:rPr>
            </w:pPr>
          </w:p>
        </w:tc>
        <w:tc>
          <w:tcPr>
            <w:tcW w:w="1707" w:type="dxa"/>
          </w:tcPr>
          <w:p w14:paraId="3308B024" w14:textId="77777777" w:rsidR="00B06576" w:rsidRDefault="00B0657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98D773D" w14:textId="6F5A30CA" w:rsidR="005E2342" w:rsidRDefault="00B0657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tc>
      </w:tr>
      <w:tr w:rsidR="005E2342" w14:paraId="5B1E6AAF" w14:textId="77777777">
        <w:trPr>
          <w:jc w:val="center"/>
        </w:trPr>
        <w:tc>
          <w:tcPr>
            <w:tcW w:w="1701" w:type="dxa"/>
          </w:tcPr>
          <w:p w14:paraId="64BECC4A" w14:textId="77777777" w:rsidR="005E2342" w:rsidRDefault="005E2342">
            <w:pPr>
              <w:suppressAutoHyphens/>
              <w:rPr>
                <w:b/>
                <w:spacing w:val="-3"/>
              </w:rPr>
            </w:pPr>
          </w:p>
        </w:tc>
        <w:tc>
          <w:tcPr>
            <w:tcW w:w="5333" w:type="dxa"/>
          </w:tcPr>
          <w:p w14:paraId="40B37B8A" w14:textId="04D13860" w:rsidR="005E2342" w:rsidRDefault="005E2342">
            <w:pPr>
              <w:suppressAutoHyphens/>
              <w:jc w:val="center"/>
              <w:rPr>
                <w:b/>
                <w:spacing w:val="-3"/>
              </w:rPr>
            </w:pPr>
            <w:r>
              <w:rPr>
                <w:b/>
                <w:spacing w:val="-3"/>
              </w:rPr>
              <w:t xml:space="preserve">- and </w:t>
            </w:r>
            <w:r w:rsidR="00B06576">
              <w:rPr>
                <w:b/>
                <w:spacing w:val="-3"/>
              </w:rPr>
              <w:t>–</w:t>
            </w:r>
          </w:p>
          <w:p w14:paraId="06B02454" w14:textId="79BF7334" w:rsidR="00B06576" w:rsidRDefault="00B06576">
            <w:pPr>
              <w:suppressAutoHyphens/>
              <w:jc w:val="center"/>
              <w:rPr>
                <w:b/>
                <w:spacing w:val="-3"/>
              </w:rPr>
            </w:pPr>
          </w:p>
        </w:tc>
        <w:tc>
          <w:tcPr>
            <w:tcW w:w="1707" w:type="dxa"/>
          </w:tcPr>
          <w:p w14:paraId="2E6E5E25"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80006F7" w14:textId="77777777">
        <w:trPr>
          <w:jc w:val="center"/>
        </w:trPr>
        <w:tc>
          <w:tcPr>
            <w:tcW w:w="1701" w:type="dxa"/>
          </w:tcPr>
          <w:p w14:paraId="38EFB316" w14:textId="77777777" w:rsidR="005E2342" w:rsidRDefault="005E2342">
            <w:pPr>
              <w:suppressAutoHyphens/>
              <w:rPr>
                <w:b/>
                <w:spacing w:val="-3"/>
              </w:rPr>
            </w:pPr>
          </w:p>
        </w:tc>
        <w:tc>
          <w:tcPr>
            <w:tcW w:w="5333" w:type="dxa"/>
          </w:tcPr>
          <w:p w14:paraId="38151F6E" w14:textId="77777777" w:rsidR="005E2342" w:rsidRDefault="00B06576">
            <w:pPr>
              <w:suppressAutoHyphens/>
              <w:jc w:val="center"/>
              <w:rPr>
                <w:b/>
                <w:spacing w:val="-3"/>
              </w:rPr>
            </w:pPr>
            <w:r>
              <w:rPr>
                <w:b/>
                <w:spacing w:val="-3"/>
              </w:rPr>
              <w:t>SECRETARY OF STATE FOR JUSTICE</w:t>
            </w:r>
          </w:p>
          <w:p w14:paraId="0D0FCE82" w14:textId="77777777" w:rsidR="00B06576" w:rsidRDefault="00B06576">
            <w:pPr>
              <w:suppressAutoHyphens/>
              <w:jc w:val="center"/>
              <w:rPr>
                <w:b/>
                <w:spacing w:val="-3"/>
              </w:rPr>
            </w:pPr>
          </w:p>
          <w:p w14:paraId="4067F0B2" w14:textId="77777777" w:rsidR="00B06576" w:rsidRDefault="00B06576">
            <w:pPr>
              <w:suppressAutoHyphens/>
              <w:jc w:val="center"/>
              <w:rPr>
                <w:b/>
                <w:spacing w:val="-3"/>
              </w:rPr>
            </w:pPr>
            <w:r>
              <w:rPr>
                <w:b/>
                <w:spacing w:val="-3"/>
              </w:rPr>
              <w:t>-and-</w:t>
            </w:r>
          </w:p>
          <w:p w14:paraId="33734CD0" w14:textId="77777777" w:rsidR="00B06576" w:rsidRDefault="00B06576">
            <w:pPr>
              <w:suppressAutoHyphens/>
              <w:jc w:val="center"/>
              <w:rPr>
                <w:b/>
                <w:spacing w:val="-3"/>
              </w:rPr>
            </w:pPr>
          </w:p>
          <w:p w14:paraId="09410CF1" w14:textId="77777777" w:rsidR="00B06576" w:rsidRDefault="00B06576" w:rsidP="00B06576">
            <w:pPr>
              <w:numPr>
                <w:ilvl w:val="0"/>
                <w:numId w:val="11"/>
              </w:numPr>
              <w:suppressAutoHyphens/>
              <w:jc w:val="center"/>
              <w:rPr>
                <w:b/>
                <w:spacing w:val="-3"/>
              </w:rPr>
            </w:pPr>
            <w:r>
              <w:rPr>
                <w:b/>
                <w:spacing w:val="-3"/>
              </w:rPr>
              <w:t>LINCOLNSHIRE COUNTY COUNCIL</w:t>
            </w:r>
          </w:p>
          <w:p w14:paraId="498A6F90" w14:textId="77777777" w:rsidR="00B06576" w:rsidRDefault="00B06576" w:rsidP="00B06576">
            <w:pPr>
              <w:numPr>
                <w:ilvl w:val="0"/>
                <w:numId w:val="11"/>
              </w:numPr>
              <w:suppressAutoHyphens/>
              <w:jc w:val="center"/>
              <w:rPr>
                <w:b/>
                <w:spacing w:val="-3"/>
              </w:rPr>
            </w:pPr>
            <w:r>
              <w:rPr>
                <w:b/>
                <w:spacing w:val="-3"/>
              </w:rPr>
              <w:t>SOMERSET COUNTY COUNCIL</w:t>
            </w:r>
          </w:p>
          <w:p w14:paraId="6E5301D9" w14:textId="77777777" w:rsidR="00B06576" w:rsidRDefault="00B06576" w:rsidP="00B06576">
            <w:pPr>
              <w:numPr>
                <w:ilvl w:val="0"/>
                <w:numId w:val="11"/>
              </w:numPr>
              <w:suppressAutoHyphens/>
              <w:jc w:val="center"/>
              <w:rPr>
                <w:b/>
                <w:spacing w:val="-3"/>
              </w:rPr>
            </w:pPr>
            <w:r>
              <w:rPr>
                <w:b/>
                <w:spacing w:val="-3"/>
              </w:rPr>
              <w:t>KENT COUNTY COUNCIL</w:t>
            </w:r>
          </w:p>
          <w:p w14:paraId="5EB621F7" w14:textId="5B1C78CC" w:rsidR="00B06576" w:rsidRDefault="00B06576" w:rsidP="00B06576">
            <w:pPr>
              <w:suppressAutoHyphens/>
              <w:ind w:left="720"/>
              <w:rPr>
                <w:b/>
                <w:spacing w:val="-3"/>
              </w:rPr>
            </w:pPr>
          </w:p>
        </w:tc>
        <w:tc>
          <w:tcPr>
            <w:tcW w:w="1707" w:type="dxa"/>
          </w:tcPr>
          <w:p w14:paraId="01761AD9" w14:textId="77777777" w:rsidR="005E2342" w:rsidRDefault="00B0657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p w14:paraId="6BDCA03A" w14:textId="77777777" w:rsidR="00B06576" w:rsidRDefault="00B0657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9639110" w14:textId="77777777" w:rsidR="00B06576" w:rsidRDefault="00B0657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1D0C506" w14:textId="77777777" w:rsidR="00B06576" w:rsidRDefault="00B0657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204E8B4" w14:textId="77777777" w:rsidR="00B06576" w:rsidRDefault="00B0657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1BBF8AF" w14:textId="77777777" w:rsidR="00B06576" w:rsidRDefault="00B0657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C41EBCE" w14:textId="5AB9690E" w:rsidR="00B06576" w:rsidRDefault="00B0657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Parties</w:t>
            </w:r>
          </w:p>
        </w:tc>
      </w:tr>
    </w:tbl>
    <w:p w14:paraId="7B1E9F16" w14:textId="77777777" w:rsidR="005E2342" w:rsidRDefault="005E2342">
      <w:pPr>
        <w:suppressAutoHyphens/>
        <w:jc w:val="center"/>
        <w:rPr>
          <w:spacing w:val="-3"/>
        </w:rPr>
      </w:pPr>
      <w:r>
        <w:rPr>
          <w:spacing w:val="-3"/>
        </w:rPr>
        <w:t>- - - - - - - - - - - - - - - - - - - - -</w:t>
      </w:r>
    </w:p>
    <w:p w14:paraId="60C9FCC3" w14:textId="77777777" w:rsidR="005E2342" w:rsidRDefault="005E2342">
      <w:pPr>
        <w:suppressAutoHyphens/>
        <w:jc w:val="center"/>
        <w:rPr>
          <w:spacing w:val="-3"/>
        </w:rPr>
      </w:pPr>
      <w:r>
        <w:rPr>
          <w:spacing w:val="-3"/>
        </w:rPr>
        <w:t>- - - - - - - - - - - - - - - - - - - - -</w:t>
      </w:r>
    </w:p>
    <w:p w14:paraId="3FF2A2BA" w14:textId="77777777" w:rsidR="005E2342" w:rsidRDefault="005E2342">
      <w:pPr>
        <w:suppressAutoHyphens/>
        <w:jc w:val="center"/>
        <w:rPr>
          <w:spacing w:val="-3"/>
        </w:rPr>
      </w:pPr>
    </w:p>
    <w:p w14:paraId="5A5983E6" w14:textId="5AB9122F" w:rsidR="005E2342" w:rsidRDefault="00A55294">
      <w:pPr>
        <w:suppressAutoHyphens/>
        <w:jc w:val="center"/>
        <w:rPr>
          <w:b/>
          <w:spacing w:val="-3"/>
        </w:rPr>
      </w:pPr>
      <w:r>
        <w:rPr>
          <w:b/>
          <w:spacing w:val="-3"/>
        </w:rPr>
        <w:t>MS GALLAGHER QC</w:t>
      </w:r>
      <w:r w:rsidR="0005277F">
        <w:rPr>
          <w:b/>
          <w:spacing w:val="-3"/>
        </w:rPr>
        <w:t xml:space="preserve"> and MR </w:t>
      </w:r>
      <w:proofErr w:type="spellStart"/>
      <w:r w:rsidR="0005277F">
        <w:rPr>
          <w:b/>
          <w:spacing w:val="-3"/>
        </w:rPr>
        <w:t>MCQ</w:t>
      </w:r>
      <w:r w:rsidR="00875CF7">
        <w:rPr>
          <w:b/>
          <w:spacing w:val="-3"/>
        </w:rPr>
        <w:t>U</w:t>
      </w:r>
      <w:r w:rsidR="0005277F">
        <w:rPr>
          <w:b/>
          <w:spacing w:val="-3"/>
        </w:rPr>
        <w:t>ITTY</w:t>
      </w:r>
      <w:proofErr w:type="spellEnd"/>
      <w:r w:rsidR="005E2342">
        <w:rPr>
          <w:b/>
          <w:spacing w:val="-3"/>
        </w:rPr>
        <w:t xml:space="preserve"> </w:t>
      </w:r>
      <w:r w:rsidR="005E2342">
        <w:rPr>
          <w:bCs/>
          <w:spacing w:val="-3"/>
        </w:rPr>
        <w:t>(instructed by</w:t>
      </w:r>
      <w:r w:rsidR="005E2342">
        <w:rPr>
          <w:b/>
          <w:spacing w:val="-3"/>
        </w:rPr>
        <w:t xml:space="preserve"> </w:t>
      </w:r>
      <w:r w:rsidR="0005277F">
        <w:rPr>
          <w:b/>
          <w:spacing w:val="-3"/>
        </w:rPr>
        <w:t>PHOENIX LAW</w:t>
      </w:r>
      <w:r w:rsidR="005E2342">
        <w:rPr>
          <w:bCs/>
          <w:spacing w:val="-3"/>
        </w:rPr>
        <w:t>) for the</w:t>
      </w:r>
      <w:r w:rsidR="005E2342">
        <w:rPr>
          <w:spacing w:val="-3"/>
        </w:rPr>
        <w:t xml:space="preserve"> </w:t>
      </w:r>
      <w:r w:rsidR="0005277F">
        <w:rPr>
          <w:b/>
          <w:bCs/>
          <w:spacing w:val="-3"/>
        </w:rPr>
        <w:t>Claimants</w:t>
      </w:r>
    </w:p>
    <w:p w14:paraId="3725EF96" w14:textId="07F3205D" w:rsidR="005E2342" w:rsidRDefault="00FB343F">
      <w:pPr>
        <w:suppressAutoHyphens/>
        <w:jc w:val="center"/>
        <w:rPr>
          <w:bCs/>
          <w:spacing w:val="-3"/>
        </w:rPr>
      </w:pPr>
      <w:r>
        <w:rPr>
          <w:b/>
          <w:spacing w:val="-3"/>
        </w:rPr>
        <w:t xml:space="preserve">MR O’BRIEN and MS </w:t>
      </w:r>
      <w:proofErr w:type="spellStart"/>
      <w:r>
        <w:rPr>
          <w:b/>
          <w:spacing w:val="-3"/>
        </w:rPr>
        <w:t>GREENLEY</w:t>
      </w:r>
      <w:proofErr w:type="spellEnd"/>
      <w:r w:rsidR="005E2342">
        <w:rPr>
          <w:bCs/>
          <w:spacing w:val="-3"/>
        </w:rPr>
        <w:t xml:space="preserve"> (instructed by </w:t>
      </w:r>
      <w:r>
        <w:rPr>
          <w:b/>
          <w:spacing w:val="-3"/>
        </w:rPr>
        <w:t>GOVERNMENT LEGAL DEPARTMENT</w:t>
      </w:r>
      <w:r w:rsidR="005E2342">
        <w:rPr>
          <w:bCs/>
          <w:spacing w:val="-3"/>
        </w:rPr>
        <w:t xml:space="preserve">) for the </w:t>
      </w:r>
      <w:r>
        <w:rPr>
          <w:b/>
          <w:spacing w:val="-3"/>
        </w:rPr>
        <w:t>DEFENDANT</w:t>
      </w:r>
    </w:p>
    <w:p w14:paraId="45652FF3" w14:textId="77777777" w:rsidR="005E2342" w:rsidRDefault="005E2342">
      <w:pPr>
        <w:suppressAutoHyphens/>
        <w:jc w:val="center"/>
        <w:rPr>
          <w:b/>
          <w:spacing w:val="-3"/>
        </w:rPr>
      </w:pPr>
    </w:p>
    <w:p w14:paraId="55ED4AAD" w14:textId="527396F0" w:rsidR="005E2342" w:rsidRDefault="005E2342">
      <w:pPr>
        <w:suppressAutoHyphens/>
        <w:jc w:val="center"/>
        <w:rPr>
          <w:spacing w:val="-3"/>
        </w:rPr>
      </w:pPr>
      <w:r>
        <w:rPr>
          <w:spacing w:val="-3"/>
        </w:rPr>
        <w:t xml:space="preserve">Hearing dates: </w:t>
      </w:r>
      <w:r w:rsidR="00FB343F">
        <w:rPr>
          <w:spacing w:val="-3"/>
        </w:rPr>
        <w:t>7-8 July 2020</w:t>
      </w:r>
    </w:p>
    <w:p w14:paraId="0B56C10B" w14:textId="77777777" w:rsidR="005E2342" w:rsidRDefault="005E2342">
      <w:pPr>
        <w:suppressAutoHyphens/>
        <w:jc w:val="center"/>
        <w:rPr>
          <w:spacing w:val="-3"/>
        </w:rPr>
      </w:pPr>
      <w:r>
        <w:rPr>
          <w:spacing w:val="-3"/>
        </w:rPr>
        <w:t>- - - - - - - - - - - - - - - - - - - - -</w:t>
      </w:r>
    </w:p>
    <w:p w14:paraId="1A386F95" w14:textId="3AA30BB3" w:rsidR="005E2342" w:rsidRDefault="000768DC" w:rsidP="000768DC">
      <w:pPr>
        <w:pStyle w:val="CoverDesc"/>
      </w:pPr>
      <w:r>
        <w:t>Approved Judgment</w:t>
      </w:r>
    </w:p>
    <w:p w14:paraId="021D5D88" w14:textId="77777777" w:rsidR="005E2342" w:rsidRDefault="005E2342">
      <w:pPr>
        <w:pStyle w:val="CoverDesc"/>
        <w:rPr>
          <w:sz w:val="24"/>
        </w:rPr>
      </w:pPr>
    </w:p>
    <w:p w14:paraId="18244150" w14:textId="4750D033" w:rsidR="005E2342" w:rsidRDefault="00640AE9" w:rsidP="00640AE9">
      <w:pPr>
        <w:jc w:val="center"/>
      </w:pPr>
      <w:r>
        <w:rPr>
          <w:b/>
          <w:bCs/>
        </w:rPr>
        <w:t>Covid-19 Protocol:  This judgment was handed down by the Judge remotely by circulation to the parties' representatives by email and release to Bailii.  The date and time for hand-down is deemed to be 10.30 am on Friday 31 July 2020</w:t>
      </w:r>
    </w:p>
    <w:p w14:paraId="2CFEA757" w14:textId="231B0527" w:rsidR="004F0F2C" w:rsidRDefault="004F0F2C"/>
    <w:p w14:paraId="5EA17358" w14:textId="3F06E043" w:rsidR="004F0F2C" w:rsidRDefault="004F0F2C"/>
    <w:p w14:paraId="177794CC" w14:textId="77777777" w:rsidR="00633C62" w:rsidRDefault="00633C62" w:rsidP="00E945D5">
      <w:pPr>
        <w:ind w:left="-284" w:right="-284"/>
        <w:rPr>
          <w:sz w:val="32"/>
          <w:szCs w:val="32"/>
          <w:u w:val="single"/>
        </w:rPr>
      </w:pPr>
    </w:p>
    <w:p w14:paraId="08FB3D40" w14:textId="77777777" w:rsidR="00633C62" w:rsidRDefault="00633C62" w:rsidP="00E945D5">
      <w:pPr>
        <w:ind w:left="-284" w:right="-284"/>
        <w:rPr>
          <w:sz w:val="32"/>
          <w:szCs w:val="32"/>
          <w:u w:val="single"/>
        </w:rPr>
      </w:pPr>
    </w:p>
    <w:p w14:paraId="0C7DA3DE" w14:textId="6194151F" w:rsidR="00E945D5" w:rsidRPr="001D7F6C" w:rsidRDefault="004F0F2C" w:rsidP="00E945D5">
      <w:pPr>
        <w:ind w:left="-284" w:right="-284"/>
        <w:rPr>
          <w:sz w:val="32"/>
          <w:szCs w:val="32"/>
        </w:rPr>
      </w:pPr>
      <w:r w:rsidRPr="001D7F6C">
        <w:rPr>
          <w:sz w:val="32"/>
          <w:szCs w:val="32"/>
          <w:u w:val="single"/>
        </w:rPr>
        <w:t>Contents</w:t>
      </w:r>
      <w:r w:rsidR="00E945D5" w:rsidRPr="001D7F6C">
        <w:rPr>
          <w:sz w:val="32"/>
          <w:szCs w:val="32"/>
        </w:rPr>
        <w:t xml:space="preserve">  </w:t>
      </w:r>
    </w:p>
    <w:p w14:paraId="794BDEE8" w14:textId="77777777" w:rsidR="00E945D5" w:rsidRDefault="00E945D5" w:rsidP="00E945D5">
      <w:pPr>
        <w:ind w:left="-284" w:right="-284"/>
        <w:rPr>
          <w:sz w:val="28"/>
          <w:szCs w:val="28"/>
        </w:rPr>
      </w:pPr>
    </w:p>
    <w:p w14:paraId="6B2AFBB7" w14:textId="77777777" w:rsidR="00633C62" w:rsidRDefault="00912A9F" w:rsidP="00633C62">
      <w:pPr>
        <w:spacing w:before="240" w:after="240"/>
        <w:ind w:left="-284" w:right="-284"/>
      </w:pPr>
      <w:r w:rsidRPr="001D7F6C">
        <w:rPr>
          <w:u w:val="single"/>
        </w:rPr>
        <w:t>H</w:t>
      </w:r>
      <w:r w:rsidR="00D12C6B" w:rsidRPr="001D7F6C">
        <w:rPr>
          <w:u w:val="single"/>
        </w:rPr>
        <w:t>yperlinks to h</w:t>
      </w:r>
      <w:r w:rsidRPr="001D7F6C">
        <w:rPr>
          <w:u w:val="single"/>
        </w:rPr>
        <w:t>eadings and (sub-headings</w:t>
      </w:r>
      <w:r w:rsidRPr="001D7F6C">
        <w:t>)</w:t>
      </w:r>
      <w:r w:rsidR="006434E6" w:rsidRPr="001D7F6C">
        <w:t xml:space="preserve"> </w:t>
      </w:r>
      <w:r w:rsidR="009D79F5" w:rsidRPr="001D7F6C">
        <w:tab/>
      </w:r>
      <w:r w:rsidR="009D79F5" w:rsidRPr="001D7F6C">
        <w:tab/>
      </w:r>
    </w:p>
    <w:p w14:paraId="7EC5A3C7" w14:textId="04CFC563" w:rsidR="004F0F2C" w:rsidRPr="001D7F6C" w:rsidRDefault="009D79F5" w:rsidP="00633C62">
      <w:pPr>
        <w:spacing w:before="240" w:after="240"/>
        <w:ind w:left="-284" w:right="-284"/>
      </w:pPr>
      <w:r w:rsidRPr="001D7F6C">
        <w:tab/>
      </w:r>
      <w:r w:rsidRPr="001D7F6C">
        <w:tab/>
      </w:r>
      <w:r w:rsidRPr="001D7F6C">
        <w:tab/>
      </w:r>
      <w:r w:rsidRPr="001D7F6C">
        <w:tab/>
      </w:r>
      <w:r w:rsidRPr="001D7F6C">
        <w:tab/>
      </w:r>
      <w:r w:rsidRPr="001D7F6C">
        <w:tab/>
      </w:r>
      <w:r w:rsidRPr="001D7F6C">
        <w:tab/>
      </w:r>
      <w:r w:rsidRPr="001D7F6C">
        <w:tab/>
      </w:r>
      <w:r w:rsidRPr="001D7F6C">
        <w:tab/>
      </w:r>
      <w:r w:rsidRPr="001D7F6C">
        <w:tab/>
      </w:r>
      <w:r w:rsidRPr="001D7F6C">
        <w:tab/>
      </w:r>
      <w:r w:rsidR="00B87769" w:rsidRPr="001D7F6C">
        <w:tab/>
      </w:r>
      <w:r w:rsidR="00B87769" w:rsidRPr="001D7F6C">
        <w:tab/>
      </w:r>
      <w:r w:rsidR="00B87769" w:rsidRPr="001D7F6C">
        <w:tab/>
      </w:r>
      <w:r w:rsidR="00B87769" w:rsidRPr="001D7F6C">
        <w:tab/>
      </w:r>
      <w:r w:rsidR="00B87769" w:rsidRPr="001D7F6C">
        <w:tab/>
      </w:r>
      <w:r w:rsidR="00B87769" w:rsidRPr="001D7F6C">
        <w:tab/>
      </w:r>
      <w:r w:rsidR="00B87769" w:rsidRPr="001D7F6C">
        <w:tab/>
      </w:r>
      <w:r w:rsidR="00B87769" w:rsidRPr="001D7F6C">
        <w:tab/>
      </w:r>
      <w:r w:rsidR="00984D17" w:rsidRPr="001D7F6C">
        <w:t xml:space="preserve">     </w:t>
      </w:r>
      <w:r w:rsidR="00E945D5" w:rsidRPr="001D7F6C">
        <w:t xml:space="preserve">                       </w:t>
      </w:r>
      <w:r w:rsidR="00633C62">
        <w:t xml:space="preserve"> </w:t>
      </w:r>
      <w:r w:rsidR="00633C62">
        <w:tab/>
      </w:r>
      <w:r w:rsidR="00633C62">
        <w:tab/>
      </w:r>
      <w:r w:rsidR="00633C62">
        <w:tab/>
      </w:r>
      <w:r w:rsidR="00633C62">
        <w:tab/>
      </w:r>
      <w:r w:rsidR="00633C62">
        <w:tab/>
      </w:r>
      <w:r w:rsidR="00633C62">
        <w:tab/>
      </w:r>
      <w:r w:rsidR="00633C62">
        <w:tab/>
      </w:r>
      <w:r w:rsidR="00633C62">
        <w:tab/>
      </w:r>
      <w:r w:rsidR="00633C62">
        <w:tab/>
        <w:t xml:space="preserve">  </w:t>
      </w:r>
      <w:r w:rsidR="001D7F6C">
        <w:t xml:space="preserve">  </w:t>
      </w:r>
      <w:r w:rsidR="00B87769" w:rsidRPr="001D7F6C">
        <w:t>Paragraphs</w:t>
      </w:r>
      <w:r w:rsidR="00D12C6B" w:rsidRPr="001D7F6C">
        <w:t xml:space="preserve">        </w:t>
      </w:r>
    </w:p>
    <w:p w14:paraId="1BAD7A54" w14:textId="77777777" w:rsidR="00633C62" w:rsidRDefault="0062133B" w:rsidP="00633C62">
      <w:pPr>
        <w:spacing w:before="240" w:after="240"/>
        <w:ind w:left="-284" w:right="-284"/>
      </w:pPr>
      <w:hyperlink w:anchor="Intro" w:history="1">
        <w:r w:rsidR="00B87769" w:rsidRPr="001D7F6C">
          <w:rPr>
            <w:rStyle w:val="Hyperlink"/>
          </w:rPr>
          <w:t>Introduction</w:t>
        </w:r>
      </w:hyperlink>
      <w:r w:rsidR="009D79F5" w:rsidRPr="001D7F6C">
        <w:tab/>
      </w:r>
      <w:r w:rsidR="009D79F5" w:rsidRPr="001D7F6C">
        <w:tab/>
      </w:r>
      <w:r w:rsidR="009D79F5" w:rsidRPr="001D7F6C">
        <w:tab/>
      </w:r>
      <w:r w:rsidR="0098197E" w:rsidRPr="001D7F6C">
        <w:tab/>
      </w:r>
      <w:r w:rsidR="0098197E" w:rsidRPr="001D7F6C">
        <w:tab/>
      </w:r>
      <w:r w:rsidR="0098197E" w:rsidRPr="001D7F6C">
        <w:tab/>
      </w:r>
      <w:r w:rsidR="0098197E" w:rsidRPr="001D7F6C">
        <w:tab/>
      </w:r>
      <w:r w:rsidR="0098197E" w:rsidRPr="001D7F6C">
        <w:tab/>
      </w:r>
      <w:r w:rsidR="0098197E" w:rsidRPr="001D7F6C">
        <w:tab/>
      </w:r>
      <w:r w:rsidR="0098197E" w:rsidRPr="001D7F6C">
        <w:tab/>
      </w:r>
      <w:r w:rsidR="0098197E" w:rsidRPr="001D7F6C">
        <w:tab/>
        <w:t xml:space="preserve"> </w:t>
      </w:r>
      <w:r w:rsidR="0075786D" w:rsidRPr="001D7F6C">
        <w:tab/>
      </w:r>
      <w:r w:rsidR="00984D17" w:rsidRPr="001D7F6C">
        <w:t xml:space="preserve">      </w:t>
      </w:r>
      <w:r w:rsidR="00E945D5" w:rsidRPr="001D7F6C">
        <w:t xml:space="preserve">    </w:t>
      </w:r>
      <w:r w:rsidR="0098197E" w:rsidRPr="001D7F6C">
        <w:t>1 - 4</w:t>
      </w:r>
      <w:r w:rsidR="009D79F5" w:rsidRPr="001D7F6C">
        <w:tab/>
        <w:t xml:space="preserve"> </w:t>
      </w:r>
    </w:p>
    <w:p w14:paraId="29A31B9B" w14:textId="693AB817" w:rsidR="0098197E" w:rsidRPr="00633C62" w:rsidRDefault="0062133B" w:rsidP="00633C62">
      <w:pPr>
        <w:spacing w:before="240" w:after="240"/>
        <w:ind w:left="-284" w:right="-284"/>
        <w:rPr>
          <w:rStyle w:val="Hyperlink"/>
          <w:color w:val="auto"/>
          <w:u w:val="none"/>
        </w:rPr>
      </w:pPr>
      <w:hyperlink w:anchor="marriage_according_to_english_law" w:history="1">
        <w:r w:rsidR="00CA1CE3" w:rsidRPr="001D7F6C">
          <w:rPr>
            <w:rStyle w:val="Hyperlink"/>
          </w:rPr>
          <w:t>Marriage According to English Law</w:t>
        </w:r>
      </w:hyperlink>
      <w:r w:rsidR="00D12C6B"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t xml:space="preserve"> </w:t>
      </w:r>
      <w:r w:rsidR="00984D17" w:rsidRPr="001D7F6C">
        <w:rPr>
          <w:rStyle w:val="Hyperlink"/>
          <w:u w:val="none"/>
        </w:rPr>
        <w:tab/>
        <w:t xml:space="preserve">      </w:t>
      </w:r>
      <w:r w:rsidR="00E945D5" w:rsidRPr="001D7F6C">
        <w:rPr>
          <w:rStyle w:val="Hyperlink"/>
          <w:u w:val="none"/>
        </w:rPr>
        <w:t xml:space="preserve">    </w:t>
      </w:r>
      <w:r w:rsidR="0098197E" w:rsidRPr="0062133B">
        <w:rPr>
          <w:rStyle w:val="Hyperlink"/>
          <w:color w:val="auto"/>
          <w:u w:val="none"/>
        </w:rPr>
        <w:t>5 - 17</w:t>
      </w:r>
      <w:r w:rsidR="00D12C6B" w:rsidRPr="001D7F6C">
        <w:rPr>
          <w:rStyle w:val="Hyperlink"/>
          <w:u w:val="none"/>
        </w:rPr>
        <w:tab/>
        <w:t xml:space="preserve"> </w:t>
      </w:r>
    </w:p>
    <w:p w14:paraId="780E1C8E" w14:textId="575A9EE1" w:rsidR="00CA1CE3" w:rsidRPr="001D7F6C" w:rsidRDefault="0062133B" w:rsidP="00633C62">
      <w:pPr>
        <w:spacing w:before="240" w:after="240"/>
        <w:ind w:left="-284" w:right="-284"/>
      </w:pPr>
      <w:hyperlink w:anchor="humanism" w:history="1">
        <w:r w:rsidR="00427612" w:rsidRPr="001D7F6C">
          <w:rPr>
            <w:rStyle w:val="Hyperlink"/>
          </w:rPr>
          <w:t>Humanism</w:t>
        </w:r>
      </w:hyperlink>
      <w:r w:rsidR="00D12C6B" w:rsidRPr="001D7F6C">
        <w:rPr>
          <w:rStyle w:val="Hyperlink"/>
          <w:u w:val="none"/>
        </w:rPr>
        <w:tab/>
      </w:r>
      <w:r w:rsidR="00D12C6B"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4D17" w:rsidRPr="001D7F6C">
        <w:rPr>
          <w:rStyle w:val="Hyperlink"/>
          <w:u w:val="none"/>
        </w:rPr>
        <w:tab/>
        <w:t xml:space="preserve">    </w:t>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E945D5" w:rsidRPr="001D7F6C">
        <w:rPr>
          <w:rStyle w:val="Hyperlink"/>
          <w:u w:val="none"/>
        </w:rPr>
        <w:tab/>
      </w:r>
      <w:r w:rsidR="0098197E" w:rsidRPr="0062133B">
        <w:rPr>
          <w:rStyle w:val="Hyperlink"/>
          <w:color w:val="auto"/>
          <w:u w:val="none"/>
        </w:rPr>
        <w:t>18 - 22</w:t>
      </w:r>
      <w:r w:rsidR="00D12C6B" w:rsidRPr="001D7F6C">
        <w:rPr>
          <w:rStyle w:val="Hyperlink"/>
          <w:u w:val="none"/>
        </w:rPr>
        <w:tab/>
        <w:t xml:space="preserve">  </w:t>
      </w:r>
    </w:p>
    <w:p w14:paraId="5199CC61" w14:textId="4A8E02F7" w:rsidR="00CA1CE3" w:rsidRPr="001D7F6C" w:rsidRDefault="0062133B" w:rsidP="00633C62">
      <w:pPr>
        <w:spacing w:before="240" w:after="240"/>
        <w:ind w:left="-284" w:right="-284"/>
      </w:pPr>
      <w:hyperlink w:anchor="marriage_and_humanism" w:history="1">
        <w:r w:rsidR="00071D95" w:rsidRPr="001D7F6C">
          <w:rPr>
            <w:rStyle w:val="Hyperlink"/>
          </w:rPr>
          <w:t>Marriage and Humanism</w:t>
        </w:r>
      </w:hyperlink>
      <w:r w:rsidR="00D12C6B" w:rsidRPr="001D7F6C">
        <w:rPr>
          <w:rStyle w:val="Hyperlink"/>
          <w:u w:val="none"/>
        </w:rPr>
        <w:tab/>
      </w:r>
      <w:r w:rsidR="00D12C6B" w:rsidRPr="001D7F6C">
        <w:rPr>
          <w:rStyle w:val="Hyperlink"/>
          <w:u w:val="none"/>
        </w:rPr>
        <w:tab/>
      </w:r>
      <w:r w:rsidR="00D12C6B"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4D17" w:rsidRPr="001D7F6C">
        <w:rPr>
          <w:rStyle w:val="Hyperlink"/>
          <w:u w:val="none"/>
        </w:rPr>
        <w:tab/>
        <w:t xml:space="preserve">    </w:t>
      </w:r>
      <w:r w:rsidR="00E945D5" w:rsidRPr="001D7F6C">
        <w:rPr>
          <w:rStyle w:val="Hyperlink"/>
          <w:u w:val="none"/>
        </w:rPr>
        <w:tab/>
      </w:r>
      <w:r w:rsidR="0098197E" w:rsidRPr="0062133B">
        <w:rPr>
          <w:rStyle w:val="Hyperlink"/>
          <w:color w:val="auto"/>
          <w:u w:val="none"/>
        </w:rPr>
        <w:t>23 - 29</w:t>
      </w:r>
      <w:r w:rsidR="00D12C6B" w:rsidRPr="001D7F6C">
        <w:rPr>
          <w:rStyle w:val="Hyperlink"/>
          <w:u w:val="none"/>
        </w:rPr>
        <w:tab/>
        <w:t xml:space="preserve">  </w:t>
      </w:r>
    </w:p>
    <w:p w14:paraId="6A4B1608" w14:textId="4514A6C8" w:rsidR="00CA1CE3" w:rsidRPr="001D7F6C" w:rsidRDefault="0062133B" w:rsidP="00633C62">
      <w:pPr>
        <w:spacing w:before="240" w:after="240"/>
        <w:ind w:left="-284" w:right="-284"/>
      </w:pPr>
      <w:hyperlink w:anchor="the_claimants" w:history="1">
        <w:r w:rsidR="0043357C" w:rsidRPr="001D7F6C">
          <w:rPr>
            <w:rStyle w:val="Hyperlink"/>
          </w:rPr>
          <w:t>The Claimants</w:t>
        </w:r>
      </w:hyperlink>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4D17" w:rsidRPr="001D7F6C">
        <w:rPr>
          <w:rStyle w:val="Hyperlink"/>
          <w:u w:val="none"/>
        </w:rPr>
        <w:tab/>
        <w:t xml:space="preserve">    </w:t>
      </w:r>
      <w:r w:rsidR="00E945D5" w:rsidRPr="001D7F6C">
        <w:rPr>
          <w:rStyle w:val="Hyperlink"/>
          <w:u w:val="none"/>
        </w:rPr>
        <w:tab/>
      </w:r>
      <w:r w:rsidR="0098197E" w:rsidRPr="0062133B">
        <w:rPr>
          <w:rStyle w:val="Hyperlink"/>
          <w:color w:val="auto"/>
          <w:u w:val="none"/>
        </w:rPr>
        <w:t xml:space="preserve">30 – 37 </w:t>
      </w:r>
      <w:r w:rsidR="0098197E" w:rsidRPr="001D7F6C">
        <w:rPr>
          <w:rStyle w:val="Hyperlink"/>
          <w:u w:val="none"/>
        </w:rPr>
        <w:tab/>
      </w:r>
    </w:p>
    <w:p w14:paraId="389AF0B8" w14:textId="5F96C9F7" w:rsidR="00CA1CE3" w:rsidRPr="001D7F6C" w:rsidRDefault="0062133B" w:rsidP="00633C62">
      <w:pPr>
        <w:spacing w:before="240" w:after="240"/>
        <w:ind w:left="-284" w:right="-284"/>
      </w:pPr>
      <w:hyperlink w:anchor="lgsltve_dvlpmnts_cnsdrtion_refrm" w:history="1">
        <w:r w:rsidR="00861A56" w:rsidRPr="001D7F6C">
          <w:rPr>
            <w:rStyle w:val="Hyperlink"/>
          </w:rPr>
          <w:t>Legislative Developments and Consideration of Reform</w:t>
        </w:r>
      </w:hyperlink>
      <w:r w:rsidR="00DD5E95" w:rsidRPr="001D7F6C">
        <w:rPr>
          <w:rStyle w:val="Hyperlink"/>
        </w:rPr>
        <w:t xml:space="preserve"> </w:t>
      </w:r>
      <w:r w:rsidR="00DD5E95" w:rsidRPr="001D7F6C">
        <w:rPr>
          <w:rStyle w:val="Hyperlink"/>
          <w:u w:val="none"/>
        </w:rPr>
        <w:tab/>
      </w:r>
      <w:r w:rsidR="00DD5E95" w:rsidRPr="001D7F6C">
        <w:rPr>
          <w:rStyle w:val="Hyperlink"/>
          <w:u w:val="none"/>
        </w:rPr>
        <w:tab/>
      </w:r>
      <w:r w:rsidR="0098197E" w:rsidRPr="001D7F6C">
        <w:rPr>
          <w:rStyle w:val="Hyperlink"/>
          <w:u w:val="none"/>
        </w:rPr>
        <w:tab/>
      </w:r>
      <w:r w:rsidR="0098197E" w:rsidRPr="001D7F6C">
        <w:rPr>
          <w:rStyle w:val="Hyperlink"/>
          <w:u w:val="none"/>
        </w:rPr>
        <w:tab/>
      </w:r>
      <w:r w:rsidR="00E945D5" w:rsidRPr="001D7F6C">
        <w:rPr>
          <w:rStyle w:val="Hyperlink"/>
          <w:u w:val="none"/>
        </w:rPr>
        <w:tab/>
      </w:r>
      <w:r w:rsidR="0098197E" w:rsidRPr="0062133B">
        <w:rPr>
          <w:rStyle w:val="Hyperlink"/>
          <w:color w:val="auto"/>
          <w:u w:val="none"/>
        </w:rPr>
        <w:t>38 - 48</w:t>
      </w:r>
      <w:r w:rsidR="00DD5E95" w:rsidRPr="001D7F6C">
        <w:rPr>
          <w:rStyle w:val="Hyperlink"/>
          <w:u w:val="none"/>
        </w:rPr>
        <w:tab/>
        <w:t xml:space="preserve">  </w:t>
      </w:r>
    </w:p>
    <w:p w14:paraId="4A7B9A0F" w14:textId="36CEE591" w:rsidR="00CA1CE3" w:rsidRPr="001D7F6C" w:rsidRDefault="0062133B" w:rsidP="00633C62">
      <w:pPr>
        <w:spacing w:before="240" w:after="240"/>
        <w:ind w:left="-284" w:right="-284"/>
      </w:pPr>
      <w:hyperlink w:anchor="challnge_in_thse_proceedngs" w:history="1">
        <w:r w:rsidR="00E16260" w:rsidRPr="001D7F6C">
          <w:rPr>
            <w:rStyle w:val="Hyperlink"/>
          </w:rPr>
          <w:t>The Challenge in these Proceedings</w:t>
        </w:r>
      </w:hyperlink>
      <w:r w:rsidR="00DD5E95" w:rsidRPr="001D7F6C">
        <w:rPr>
          <w:rStyle w:val="Hyperlink"/>
          <w:u w:val="none"/>
        </w:rPr>
        <w:tab/>
      </w:r>
      <w:r w:rsidR="00DD5E95"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197E" w:rsidRPr="001D7F6C">
        <w:rPr>
          <w:rStyle w:val="Hyperlink"/>
          <w:u w:val="none"/>
        </w:rPr>
        <w:tab/>
      </w:r>
      <w:r w:rsidR="00984D17" w:rsidRPr="001D7F6C">
        <w:rPr>
          <w:rStyle w:val="Hyperlink"/>
          <w:u w:val="none"/>
        </w:rPr>
        <w:tab/>
        <w:t xml:space="preserve">    </w:t>
      </w:r>
      <w:r w:rsidR="00E945D5" w:rsidRPr="001D7F6C">
        <w:rPr>
          <w:rStyle w:val="Hyperlink"/>
          <w:u w:val="none"/>
        </w:rPr>
        <w:tab/>
      </w:r>
      <w:r w:rsidR="0098197E" w:rsidRPr="0062133B">
        <w:rPr>
          <w:rStyle w:val="Hyperlink"/>
          <w:color w:val="auto"/>
          <w:u w:val="none"/>
        </w:rPr>
        <w:t>49 - 55</w:t>
      </w:r>
      <w:r w:rsidR="00DD5E95" w:rsidRPr="001D7F6C">
        <w:rPr>
          <w:rStyle w:val="Hyperlink"/>
          <w:u w:val="none"/>
        </w:rPr>
        <w:tab/>
        <w:t xml:space="preserve">  </w:t>
      </w:r>
    </w:p>
    <w:p w14:paraId="7A4BCE97" w14:textId="3A49C78A" w:rsidR="00CA1CE3" w:rsidRPr="001D7F6C" w:rsidRDefault="0062133B" w:rsidP="00633C62">
      <w:pPr>
        <w:ind w:left="-284" w:right="-284"/>
      </w:pPr>
      <w:hyperlink w:anchor="ambit" w:history="1">
        <w:r w:rsidR="00883022" w:rsidRPr="001D7F6C">
          <w:rPr>
            <w:rStyle w:val="Hyperlink"/>
          </w:rPr>
          <w:t>Ambit</w:t>
        </w:r>
      </w:hyperlink>
      <w:r w:rsidR="00883022" w:rsidRPr="001D7F6C">
        <w:t xml:space="preserve"> </w:t>
      </w:r>
      <w:r w:rsidR="00DD5E95" w:rsidRPr="001D7F6C">
        <w:tab/>
      </w:r>
      <w:r w:rsidR="00DD5E95" w:rsidRPr="001D7F6C">
        <w:tab/>
      </w:r>
      <w:r w:rsidR="00DD5E95" w:rsidRPr="001D7F6C">
        <w:tab/>
      </w:r>
      <w:r w:rsidR="00DD5E95" w:rsidRPr="001D7F6C">
        <w:tab/>
      </w:r>
      <w:r w:rsidR="00DD5E95" w:rsidRPr="001D7F6C">
        <w:tab/>
      </w:r>
      <w:r w:rsidR="00DD5E95" w:rsidRPr="001D7F6C">
        <w:tab/>
      </w:r>
      <w:r w:rsidR="000D58EE" w:rsidRPr="001D7F6C">
        <w:tab/>
      </w:r>
      <w:r w:rsidR="000D58EE" w:rsidRPr="001D7F6C">
        <w:tab/>
      </w:r>
      <w:r w:rsidR="000D58EE" w:rsidRPr="001D7F6C">
        <w:tab/>
      </w:r>
      <w:r w:rsidR="000D58EE" w:rsidRPr="001D7F6C">
        <w:tab/>
      </w:r>
      <w:r w:rsidR="000D58EE" w:rsidRPr="001D7F6C">
        <w:tab/>
      </w:r>
      <w:r w:rsidR="000D58EE" w:rsidRPr="001D7F6C">
        <w:tab/>
      </w:r>
      <w:r w:rsidR="00984D17" w:rsidRPr="001D7F6C">
        <w:tab/>
        <w:t xml:space="preserve">    </w:t>
      </w:r>
      <w:r w:rsidR="00E945D5" w:rsidRPr="001D7F6C">
        <w:tab/>
      </w:r>
      <w:r w:rsidR="000D58EE" w:rsidRPr="001D7F6C">
        <w:t xml:space="preserve">56 – 70 </w:t>
      </w:r>
      <w:r w:rsidR="00DD5E95" w:rsidRPr="001D7F6C">
        <w:tab/>
        <w:t xml:space="preserve">  </w:t>
      </w:r>
    </w:p>
    <w:p w14:paraId="0B474323" w14:textId="3B78C722" w:rsidR="00883022" w:rsidRPr="001D7F6C" w:rsidRDefault="00B67ADB" w:rsidP="00633C62">
      <w:pPr>
        <w:ind w:left="-284" w:right="-284"/>
      </w:pPr>
      <w:r w:rsidRPr="001D7F6C">
        <w:t xml:space="preserve">    </w:t>
      </w:r>
      <w:r w:rsidR="00883022" w:rsidRPr="001D7F6C">
        <w:t>(</w:t>
      </w:r>
      <w:hyperlink w:anchor="parties_submissions1" w:history="1">
        <w:r w:rsidR="00883022" w:rsidRPr="001D7F6C">
          <w:rPr>
            <w:rStyle w:val="Hyperlink"/>
          </w:rPr>
          <w:t>The Parties’ Submissions</w:t>
        </w:r>
      </w:hyperlink>
      <w:r w:rsidR="00883022" w:rsidRPr="001D7F6C">
        <w:t>)</w:t>
      </w:r>
      <w:r w:rsidRPr="001D7F6C">
        <w:tab/>
      </w:r>
      <w:r w:rsidRPr="001D7F6C">
        <w:tab/>
      </w:r>
      <w:r w:rsidRPr="001D7F6C">
        <w:tab/>
      </w:r>
      <w:r w:rsidRPr="001D7F6C">
        <w:tab/>
      </w:r>
      <w:r w:rsidRPr="001D7F6C">
        <w:tab/>
      </w:r>
      <w:r w:rsidRPr="001D7F6C">
        <w:tab/>
      </w:r>
      <w:r w:rsidRPr="001D7F6C">
        <w:tab/>
        <w:t xml:space="preserve">       </w:t>
      </w:r>
      <w:r w:rsidR="00984D17" w:rsidRPr="001D7F6C">
        <w:tab/>
        <w:t xml:space="preserve"> </w:t>
      </w:r>
      <w:r w:rsidR="00984D17" w:rsidRPr="001D7F6C">
        <w:tab/>
      </w:r>
      <w:r w:rsidRPr="001D7F6C">
        <w:t xml:space="preserve"> </w:t>
      </w:r>
      <w:r w:rsidR="00984D17" w:rsidRPr="001D7F6C">
        <w:t xml:space="preserve">  </w:t>
      </w:r>
      <w:r w:rsidR="00E945D5" w:rsidRPr="001D7F6C">
        <w:tab/>
      </w:r>
      <w:r w:rsidRPr="001D7F6C">
        <w:t>(56 – 64)</w:t>
      </w:r>
    </w:p>
    <w:p w14:paraId="23F08134" w14:textId="13252DF1" w:rsidR="004A4692" w:rsidRPr="001D7F6C" w:rsidRDefault="00B67ADB" w:rsidP="00633C62">
      <w:pPr>
        <w:ind w:left="-284" w:right="-284"/>
      </w:pPr>
      <w:r w:rsidRPr="001D7F6C">
        <w:t xml:space="preserve">    </w:t>
      </w:r>
      <w:r w:rsidR="004A4692" w:rsidRPr="001D7F6C">
        <w:t>(</w:t>
      </w:r>
      <w:hyperlink w:anchor="ambit_discussion_conclusions" w:history="1">
        <w:r w:rsidR="004A4692" w:rsidRPr="001D7F6C">
          <w:rPr>
            <w:rStyle w:val="Hyperlink"/>
          </w:rPr>
          <w:t>Ambit - Discussion and Conclusions</w:t>
        </w:r>
      </w:hyperlink>
      <w:r w:rsidR="00CA4AB2" w:rsidRPr="001D7F6C">
        <w:t>)</w:t>
      </w:r>
      <w:r w:rsidRPr="001D7F6C">
        <w:tab/>
      </w:r>
      <w:r w:rsidRPr="001D7F6C">
        <w:tab/>
      </w:r>
      <w:r w:rsidRPr="001D7F6C">
        <w:tab/>
      </w:r>
      <w:r w:rsidRPr="001D7F6C">
        <w:tab/>
      </w:r>
      <w:r w:rsidRPr="001D7F6C">
        <w:tab/>
        <w:t xml:space="preserve">       </w:t>
      </w:r>
      <w:r w:rsidRPr="001D7F6C">
        <w:tab/>
        <w:t xml:space="preserve">      </w:t>
      </w:r>
      <w:r w:rsidR="00984D17" w:rsidRPr="001D7F6C">
        <w:tab/>
        <w:t xml:space="preserve">        </w:t>
      </w:r>
      <w:r w:rsidRPr="001D7F6C">
        <w:t xml:space="preserve"> </w:t>
      </w:r>
      <w:r w:rsidR="00E945D5" w:rsidRPr="001D7F6C">
        <w:tab/>
      </w:r>
      <w:r w:rsidRPr="001D7F6C">
        <w:t>(65 - 70)</w:t>
      </w:r>
    </w:p>
    <w:p w14:paraId="61A684A9" w14:textId="70D94237" w:rsidR="00CA1CE3" w:rsidRPr="001D7F6C" w:rsidRDefault="0062133B" w:rsidP="00633C62">
      <w:pPr>
        <w:spacing w:before="360"/>
        <w:ind w:left="-284" w:right="-284"/>
      </w:pPr>
      <w:hyperlink w:anchor="dff_of_treatmnt_nd_analgs_postion" w:history="1">
        <w:r w:rsidR="00912A9F" w:rsidRPr="001D7F6C">
          <w:rPr>
            <w:rStyle w:val="Hyperlink"/>
          </w:rPr>
          <w:t>Difference of treatment and analogous position</w:t>
        </w:r>
      </w:hyperlink>
      <w:r w:rsidR="00DD5E95" w:rsidRPr="001D7F6C">
        <w:rPr>
          <w:rStyle w:val="Hyperlink"/>
          <w:u w:val="none"/>
        </w:rPr>
        <w:tab/>
      </w:r>
      <w:r w:rsidR="00DD5E95" w:rsidRPr="001D7F6C">
        <w:rPr>
          <w:rStyle w:val="Hyperlink"/>
          <w:u w:val="none"/>
        </w:rPr>
        <w:tab/>
      </w:r>
      <w:r w:rsidR="00242E90" w:rsidRPr="001D7F6C">
        <w:rPr>
          <w:rStyle w:val="Hyperlink"/>
          <w:u w:val="none"/>
        </w:rPr>
        <w:tab/>
      </w:r>
      <w:r w:rsidR="00242E90" w:rsidRPr="001D7F6C">
        <w:rPr>
          <w:rStyle w:val="Hyperlink"/>
          <w:u w:val="none"/>
        </w:rPr>
        <w:tab/>
      </w:r>
      <w:r w:rsidR="00242E90" w:rsidRPr="001D7F6C">
        <w:rPr>
          <w:rStyle w:val="Hyperlink"/>
          <w:u w:val="none"/>
        </w:rPr>
        <w:tab/>
      </w:r>
      <w:r w:rsidR="00242E90" w:rsidRPr="001D7F6C">
        <w:rPr>
          <w:rStyle w:val="Hyperlink"/>
          <w:u w:val="none"/>
        </w:rPr>
        <w:tab/>
      </w:r>
      <w:r w:rsidR="00E945D5" w:rsidRPr="001D7F6C">
        <w:rPr>
          <w:rStyle w:val="Hyperlink"/>
          <w:u w:val="none"/>
        </w:rPr>
        <w:tab/>
      </w:r>
      <w:bookmarkStart w:id="0" w:name="_GoBack"/>
      <w:r w:rsidR="00242E90" w:rsidRPr="0062133B">
        <w:rPr>
          <w:rStyle w:val="Hyperlink"/>
          <w:color w:val="auto"/>
          <w:u w:val="none"/>
        </w:rPr>
        <w:t>71 - 94</w:t>
      </w:r>
      <w:bookmarkEnd w:id="0"/>
      <w:r w:rsidR="00DD5E95" w:rsidRPr="001D7F6C">
        <w:rPr>
          <w:rStyle w:val="Hyperlink"/>
          <w:u w:val="none"/>
        </w:rPr>
        <w:tab/>
        <w:t xml:space="preserve">   </w:t>
      </w:r>
    </w:p>
    <w:p w14:paraId="73BA96FF" w14:textId="59CE1F61" w:rsidR="00912A9F" w:rsidRPr="001D7F6C" w:rsidRDefault="00B67ADB" w:rsidP="00633C62">
      <w:pPr>
        <w:ind w:left="-284" w:right="-284"/>
      </w:pPr>
      <w:r w:rsidRPr="001D7F6C">
        <w:t xml:space="preserve">    </w:t>
      </w:r>
      <w:r w:rsidR="00912A9F" w:rsidRPr="001D7F6C">
        <w:t>(</w:t>
      </w:r>
      <w:hyperlink w:anchor="Parties_submissions" w:history="1">
        <w:r w:rsidR="00912A9F" w:rsidRPr="001D7F6C">
          <w:rPr>
            <w:rStyle w:val="Hyperlink"/>
          </w:rPr>
          <w:t>The Parties’ Submissions</w:t>
        </w:r>
      </w:hyperlink>
      <w:r w:rsidR="00912A9F" w:rsidRPr="001D7F6C">
        <w:t>)</w:t>
      </w:r>
      <w:r w:rsidRPr="001D7F6C">
        <w:tab/>
      </w:r>
      <w:r w:rsidRPr="001D7F6C">
        <w:tab/>
      </w:r>
      <w:r w:rsidRPr="001D7F6C">
        <w:tab/>
      </w:r>
      <w:r w:rsidRPr="001D7F6C">
        <w:tab/>
      </w:r>
      <w:r w:rsidRPr="001D7F6C">
        <w:tab/>
      </w:r>
      <w:r w:rsidRPr="001D7F6C">
        <w:tab/>
      </w:r>
      <w:r w:rsidRPr="001D7F6C">
        <w:tab/>
        <w:t xml:space="preserve">        </w:t>
      </w:r>
      <w:r w:rsidR="00984D17" w:rsidRPr="001D7F6C">
        <w:tab/>
      </w:r>
      <w:r w:rsidR="00984D17" w:rsidRPr="001D7F6C">
        <w:tab/>
        <w:t xml:space="preserve">   </w:t>
      </w:r>
      <w:r w:rsidR="00E945D5" w:rsidRPr="001D7F6C">
        <w:tab/>
      </w:r>
      <w:r w:rsidRPr="001D7F6C">
        <w:t>(71 – 86)</w:t>
      </w:r>
    </w:p>
    <w:p w14:paraId="33A59D07" w14:textId="5396BF8D" w:rsidR="005A044F" w:rsidRPr="001D7F6C" w:rsidRDefault="00B67ADB" w:rsidP="00633C62">
      <w:pPr>
        <w:ind w:left="-284" w:right="-284"/>
      </w:pPr>
      <w:r w:rsidRPr="001D7F6C">
        <w:t xml:space="preserve">    </w:t>
      </w:r>
      <w:r w:rsidR="005A044F" w:rsidRPr="001D7F6C">
        <w:t>(</w:t>
      </w:r>
      <w:hyperlink w:anchor="diff_of_treatmnt_disscussn_nd_conclsn" w:history="1">
        <w:r w:rsidR="005A044F" w:rsidRPr="001D7F6C">
          <w:rPr>
            <w:rStyle w:val="Hyperlink"/>
          </w:rPr>
          <w:t>Difference of Treatment and Analogous Position – Discussion and Conclusions</w:t>
        </w:r>
      </w:hyperlink>
      <w:r w:rsidR="005A044F" w:rsidRPr="001D7F6C">
        <w:t>)</w:t>
      </w:r>
      <w:r w:rsidRPr="001D7F6C">
        <w:t xml:space="preserve"> </w:t>
      </w:r>
      <w:r w:rsidR="00E945D5" w:rsidRPr="001D7F6C">
        <w:tab/>
      </w:r>
      <w:r w:rsidRPr="001D7F6C">
        <w:t>(87 – 94)</w:t>
      </w:r>
    </w:p>
    <w:p w14:paraId="2EAAF365" w14:textId="593F72F7" w:rsidR="00CA1CE3" w:rsidRPr="001D7F6C" w:rsidRDefault="0062133B" w:rsidP="00633C62">
      <w:pPr>
        <w:spacing w:before="240" w:after="240"/>
        <w:ind w:left="-284" w:right="-284"/>
      </w:pPr>
      <w:hyperlink w:anchor="prescribed_ground" w:history="1">
        <w:r w:rsidR="00517529" w:rsidRPr="001D7F6C">
          <w:rPr>
            <w:rStyle w:val="Hyperlink"/>
          </w:rPr>
          <w:t>Prescribed ground</w:t>
        </w:r>
      </w:hyperlink>
      <w:r w:rsidR="00517529" w:rsidRPr="001D7F6C">
        <w:t xml:space="preserve"> </w:t>
      </w:r>
      <w:r w:rsidR="00DD5E95" w:rsidRPr="001D7F6C">
        <w:tab/>
      </w:r>
      <w:r w:rsidR="00242E90" w:rsidRPr="001D7F6C">
        <w:tab/>
      </w:r>
      <w:r w:rsidR="00242E90" w:rsidRPr="001D7F6C">
        <w:tab/>
      </w:r>
      <w:r w:rsidR="00242E90" w:rsidRPr="001D7F6C">
        <w:tab/>
      </w:r>
      <w:r w:rsidR="00242E90" w:rsidRPr="001D7F6C">
        <w:tab/>
      </w:r>
      <w:r w:rsidR="00242E90" w:rsidRPr="001D7F6C">
        <w:tab/>
      </w:r>
      <w:r w:rsidR="00242E90" w:rsidRPr="001D7F6C">
        <w:tab/>
      </w:r>
      <w:r w:rsidR="00242E90" w:rsidRPr="001D7F6C">
        <w:tab/>
      </w:r>
      <w:r w:rsidR="00242E90" w:rsidRPr="001D7F6C">
        <w:tab/>
      </w:r>
      <w:r w:rsidR="00242E90" w:rsidRPr="001D7F6C">
        <w:tab/>
      </w:r>
      <w:r w:rsidR="00984D17" w:rsidRPr="001D7F6C">
        <w:tab/>
        <w:t xml:space="preserve">    </w:t>
      </w:r>
      <w:r w:rsidR="00E945D5" w:rsidRPr="001D7F6C">
        <w:tab/>
      </w:r>
      <w:r w:rsidR="00242E90" w:rsidRPr="001D7F6C">
        <w:t>95</w:t>
      </w:r>
      <w:r w:rsidR="00DD5E95" w:rsidRPr="001D7F6C">
        <w:tab/>
      </w:r>
      <w:r w:rsidR="00DD5E95" w:rsidRPr="001D7F6C">
        <w:tab/>
        <w:t xml:space="preserve">  </w:t>
      </w:r>
    </w:p>
    <w:p w14:paraId="62296929" w14:textId="3D100337" w:rsidR="00CA1CE3" w:rsidRPr="001D7F6C" w:rsidRDefault="0062133B" w:rsidP="00AF44F6">
      <w:pPr>
        <w:ind w:left="-284" w:right="-284"/>
      </w:pPr>
      <w:hyperlink w:anchor="justification" w:history="1">
        <w:r w:rsidR="00517529" w:rsidRPr="001D7F6C">
          <w:rPr>
            <w:rStyle w:val="Hyperlink"/>
          </w:rPr>
          <w:t>Justification</w:t>
        </w:r>
      </w:hyperlink>
      <w:r w:rsidR="00517529" w:rsidRPr="001D7F6C">
        <w:t xml:space="preserve"> </w:t>
      </w:r>
      <w:r w:rsidR="00DD5E95" w:rsidRPr="001D7F6C">
        <w:tab/>
      </w:r>
      <w:r w:rsidR="00242E90" w:rsidRPr="001D7F6C">
        <w:tab/>
      </w:r>
      <w:r w:rsidR="00242E90" w:rsidRPr="001D7F6C">
        <w:tab/>
      </w:r>
      <w:r w:rsidR="00242E90" w:rsidRPr="001D7F6C">
        <w:tab/>
      </w:r>
      <w:r w:rsidR="00242E90" w:rsidRPr="001D7F6C">
        <w:tab/>
      </w:r>
      <w:r w:rsidR="00242E90" w:rsidRPr="001D7F6C">
        <w:tab/>
      </w:r>
      <w:r w:rsidR="00242E90" w:rsidRPr="001D7F6C">
        <w:tab/>
      </w:r>
      <w:r w:rsidR="00242E90" w:rsidRPr="001D7F6C">
        <w:tab/>
      </w:r>
      <w:r w:rsidR="00242E90" w:rsidRPr="001D7F6C">
        <w:tab/>
      </w:r>
      <w:r w:rsidR="00242E90" w:rsidRPr="001D7F6C">
        <w:tab/>
      </w:r>
      <w:r w:rsidR="00242E90" w:rsidRPr="001D7F6C">
        <w:tab/>
      </w:r>
      <w:r w:rsidR="00E945D5" w:rsidRPr="001D7F6C">
        <w:t xml:space="preserve"> </w:t>
      </w:r>
      <w:r w:rsidR="00E945D5" w:rsidRPr="001D7F6C">
        <w:tab/>
        <w:t xml:space="preserve">    </w:t>
      </w:r>
      <w:r w:rsidR="001D7F6C" w:rsidRPr="001D7F6C">
        <w:tab/>
      </w:r>
      <w:r w:rsidR="00242E90" w:rsidRPr="001D7F6C">
        <w:t>96 - 128</w:t>
      </w:r>
      <w:r w:rsidR="00DD5E95" w:rsidRPr="001D7F6C">
        <w:tab/>
        <w:t xml:space="preserve">  </w:t>
      </w:r>
    </w:p>
    <w:p w14:paraId="28CBAB52" w14:textId="10ECC3CA" w:rsidR="00517529" w:rsidRPr="001D7F6C" w:rsidRDefault="00B67ADB" w:rsidP="00AF44F6">
      <w:pPr>
        <w:ind w:left="-284" w:right="-284"/>
      </w:pPr>
      <w:r w:rsidRPr="001D7F6C">
        <w:t xml:space="preserve">    </w:t>
      </w:r>
      <w:r w:rsidR="00517529" w:rsidRPr="001D7F6C">
        <w:t>(</w:t>
      </w:r>
      <w:hyperlink w:anchor="justification_approach" w:history="1">
        <w:r w:rsidR="00517529" w:rsidRPr="001D7F6C">
          <w:rPr>
            <w:rStyle w:val="Hyperlink"/>
          </w:rPr>
          <w:t>Approach</w:t>
        </w:r>
      </w:hyperlink>
      <w:r w:rsidR="00517529" w:rsidRPr="001D7F6C">
        <w:t>)</w:t>
      </w:r>
      <w:r w:rsidRPr="001D7F6C">
        <w:tab/>
      </w:r>
      <w:r w:rsidRPr="001D7F6C">
        <w:tab/>
      </w:r>
      <w:r w:rsidRPr="001D7F6C">
        <w:tab/>
      </w:r>
      <w:r w:rsidRPr="001D7F6C">
        <w:tab/>
      </w:r>
      <w:r w:rsidRPr="001D7F6C">
        <w:tab/>
      </w:r>
      <w:r w:rsidRPr="001D7F6C">
        <w:tab/>
      </w:r>
      <w:r w:rsidRPr="001D7F6C">
        <w:tab/>
      </w:r>
      <w:r w:rsidRPr="001D7F6C">
        <w:tab/>
      </w:r>
      <w:r w:rsidRPr="001D7F6C">
        <w:tab/>
      </w:r>
      <w:r w:rsidRPr="001D7F6C">
        <w:tab/>
        <w:t xml:space="preserve">        </w:t>
      </w:r>
      <w:r w:rsidR="00984D17" w:rsidRPr="001D7F6C">
        <w:tab/>
      </w:r>
      <w:r w:rsidR="00984D17" w:rsidRPr="001D7F6C">
        <w:tab/>
        <w:t xml:space="preserve">  </w:t>
      </w:r>
      <w:r w:rsidR="001D7F6C" w:rsidRPr="001D7F6C">
        <w:tab/>
      </w:r>
      <w:r w:rsidRPr="001D7F6C">
        <w:t>(</w:t>
      </w:r>
      <w:r w:rsidR="00E945D5" w:rsidRPr="001D7F6C">
        <w:t>96- 103)</w:t>
      </w:r>
    </w:p>
    <w:p w14:paraId="408FDCC0" w14:textId="65EB787C" w:rsidR="00CA2478" w:rsidRPr="001D7F6C" w:rsidRDefault="00B67ADB" w:rsidP="00AF44F6">
      <w:pPr>
        <w:ind w:left="-284" w:right="-284"/>
      </w:pPr>
      <w:r w:rsidRPr="001D7F6C">
        <w:t xml:space="preserve">    </w:t>
      </w:r>
      <w:r w:rsidR="00CA2478" w:rsidRPr="001D7F6C">
        <w:t>(</w:t>
      </w:r>
      <w:hyperlink w:anchor="lgitmte_aim_nd_rational_connction" w:history="1">
        <w:r w:rsidR="00CA2478" w:rsidRPr="001D7F6C">
          <w:rPr>
            <w:rStyle w:val="Hyperlink"/>
          </w:rPr>
          <w:t>Legitimate Aim and Rational Connection</w:t>
        </w:r>
      </w:hyperlink>
      <w:r w:rsidR="00CA2478" w:rsidRPr="001D7F6C">
        <w:t>)</w:t>
      </w:r>
      <w:r w:rsidRPr="001D7F6C">
        <w:tab/>
      </w:r>
      <w:r w:rsidRPr="001D7F6C">
        <w:tab/>
      </w:r>
      <w:r w:rsidRPr="001D7F6C">
        <w:tab/>
      </w:r>
      <w:r w:rsidRPr="001D7F6C">
        <w:tab/>
      </w:r>
      <w:r w:rsidRPr="001D7F6C">
        <w:tab/>
        <w:t xml:space="preserve">        </w:t>
      </w:r>
      <w:r w:rsidR="00E945D5" w:rsidRPr="001D7F6C">
        <w:tab/>
      </w:r>
      <w:r w:rsidR="00E945D5" w:rsidRPr="001D7F6C">
        <w:tab/>
      </w:r>
      <w:r w:rsidRPr="001D7F6C">
        <w:t>(</w:t>
      </w:r>
      <w:r w:rsidR="00E945D5" w:rsidRPr="001D7F6C">
        <w:t>104 – 117)</w:t>
      </w:r>
    </w:p>
    <w:p w14:paraId="45F3AF2E" w14:textId="661FC60A" w:rsidR="0021646C" w:rsidRPr="001D7F6C" w:rsidRDefault="00B67ADB" w:rsidP="00AF44F6">
      <w:pPr>
        <w:ind w:left="-284" w:right="-284"/>
        <w:rPr>
          <w:iCs/>
        </w:rPr>
      </w:pPr>
      <w:r w:rsidRPr="001D7F6C">
        <w:rPr>
          <w:iCs/>
        </w:rPr>
        <w:t xml:space="preserve">    </w:t>
      </w:r>
      <w:r w:rsidR="0021646C" w:rsidRPr="001D7F6C">
        <w:rPr>
          <w:iCs/>
        </w:rPr>
        <w:t>(</w:t>
      </w:r>
      <w:hyperlink w:anchor="less_instrucive_means" w:history="1">
        <w:r w:rsidR="0021646C" w:rsidRPr="001D7F6C">
          <w:rPr>
            <w:rStyle w:val="Hyperlink"/>
          </w:rPr>
          <w:t>Less Intrusive Means</w:t>
        </w:r>
      </w:hyperlink>
      <w:r w:rsidR="0021646C" w:rsidRPr="001D7F6C">
        <w:rPr>
          <w:iCs/>
        </w:rPr>
        <w:t>)</w:t>
      </w:r>
      <w:r w:rsidRPr="001D7F6C">
        <w:rPr>
          <w:iCs/>
        </w:rPr>
        <w:tab/>
      </w:r>
      <w:r w:rsidRPr="001D7F6C">
        <w:rPr>
          <w:iCs/>
        </w:rPr>
        <w:tab/>
      </w:r>
      <w:r w:rsidRPr="001D7F6C">
        <w:rPr>
          <w:iCs/>
        </w:rPr>
        <w:tab/>
      </w:r>
      <w:r w:rsidRPr="001D7F6C">
        <w:rPr>
          <w:iCs/>
        </w:rPr>
        <w:tab/>
      </w:r>
      <w:r w:rsidRPr="001D7F6C">
        <w:rPr>
          <w:iCs/>
        </w:rPr>
        <w:tab/>
      </w:r>
      <w:r w:rsidRPr="001D7F6C">
        <w:rPr>
          <w:iCs/>
        </w:rPr>
        <w:tab/>
      </w:r>
      <w:r w:rsidRPr="001D7F6C">
        <w:rPr>
          <w:iCs/>
        </w:rPr>
        <w:tab/>
      </w:r>
      <w:r w:rsidRPr="001D7F6C">
        <w:rPr>
          <w:iCs/>
        </w:rPr>
        <w:tab/>
        <w:t xml:space="preserve">      </w:t>
      </w:r>
      <w:r w:rsidR="00984D17" w:rsidRPr="001D7F6C">
        <w:rPr>
          <w:iCs/>
        </w:rPr>
        <w:tab/>
      </w:r>
      <w:r w:rsidR="00984D17" w:rsidRPr="001D7F6C">
        <w:rPr>
          <w:iCs/>
        </w:rPr>
        <w:tab/>
        <w:t xml:space="preserve"> </w:t>
      </w:r>
      <w:r w:rsidRPr="001D7F6C">
        <w:rPr>
          <w:iCs/>
        </w:rPr>
        <w:t xml:space="preserve">  </w:t>
      </w:r>
      <w:r w:rsidR="001D7F6C" w:rsidRPr="001D7F6C">
        <w:rPr>
          <w:iCs/>
        </w:rPr>
        <w:tab/>
      </w:r>
      <w:r w:rsidRPr="001D7F6C">
        <w:rPr>
          <w:iCs/>
        </w:rPr>
        <w:t>(</w:t>
      </w:r>
      <w:r w:rsidR="00E945D5" w:rsidRPr="001D7F6C">
        <w:rPr>
          <w:iCs/>
        </w:rPr>
        <w:t>118 – 120)</w:t>
      </w:r>
    </w:p>
    <w:p w14:paraId="646DB7CA" w14:textId="2A343471" w:rsidR="0036615C" w:rsidRPr="001D7F6C" w:rsidRDefault="00B67ADB" w:rsidP="00AF44F6">
      <w:pPr>
        <w:ind w:left="-284" w:right="-284"/>
      </w:pPr>
      <w:r w:rsidRPr="001D7F6C">
        <w:t xml:space="preserve">    </w:t>
      </w:r>
      <w:r w:rsidR="0036615C" w:rsidRPr="001D7F6C">
        <w:t>(</w:t>
      </w:r>
      <w:hyperlink w:anchor="fair_balance" w:history="1">
        <w:r w:rsidR="0036615C" w:rsidRPr="001D7F6C">
          <w:rPr>
            <w:rStyle w:val="Hyperlink"/>
          </w:rPr>
          <w:t>Fair Balance</w:t>
        </w:r>
      </w:hyperlink>
      <w:r w:rsidR="0036615C" w:rsidRPr="001D7F6C">
        <w:t>)</w:t>
      </w:r>
      <w:r w:rsidRPr="001D7F6C">
        <w:tab/>
      </w:r>
      <w:r w:rsidRPr="001D7F6C">
        <w:tab/>
      </w:r>
      <w:r w:rsidRPr="001D7F6C">
        <w:tab/>
      </w:r>
      <w:r w:rsidRPr="001D7F6C">
        <w:tab/>
      </w:r>
      <w:r w:rsidRPr="001D7F6C">
        <w:tab/>
      </w:r>
      <w:r w:rsidRPr="001D7F6C">
        <w:tab/>
      </w:r>
      <w:r w:rsidRPr="001D7F6C">
        <w:tab/>
      </w:r>
      <w:r w:rsidRPr="001D7F6C">
        <w:tab/>
      </w:r>
      <w:r w:rsidRPr="001D7F6C">
        <w:tab/>
      </w:r>
      <w:r w:rsidRPr="001D7F6C">
        <w:tab/>
        <w:t xml:space="preserve">     </w:t>
      </w:r>
      <w:r w:rsidR="001D7F6C" w:rsidRPr="001D7F6C">
        <w:tab/>
      </w:r>
      <w:r w:rsidR="001D7F6C" w:rsidRPr="001D7F6C">
        <w:tab/>
      </w:r>
      <w:r w:rsidRPr="001D7F6C">
        <w:t>(</w:t>
      </w:r>
      <w:r w:rsidR="00E945D5" w:rsidRPr="001D7F6C">
        <w:t>121 – 128)</w:t>
      </w:r>
    </w:p>
    <w:p w14:paraId="6AE7A998" w14:textId="714AD69C" w:rsidR="00CA1CE3" w:rsidRPr="001D7F6C" w:rsidRDefault="0062133B" w:rsidP="00633C62">
      <w:pPr>
        <w:spacing w:before="240" w:after="240"/>
        <w:ind w:left="-284" w:right="-284"/>
      </w:pPr>
      <w:hyperlink w:anchor="conclusion" w:history="1">
        <w:r w:rsidR="00D12C6B" w:rsidRPr="001D7F6C">
          <w:rPr>
            <w:rStyle w:val="Hyperlink"/>
          </w:rPr>
          <w:t>Conclusion</w:t>
        </w:r>
      </w:hyperlink>
      <w:r w:rsidR="00DD5E95" w:rsidRPr="001D7F6C">
        <w:tab/>
      </w:r>
      <w:r w:rsidR="00DD5E95" w:rsidRPr="001D7F6C">
        <w:tab/>
      </w:r>
      <w:r w:rsidR="00DD5E95" w:rsidRPr="001D7F6C">
        <w:tab/>
      </w:r>
      <w:r w:rsidR="00DD5E95" w:rsidRPr="001D7F6C">
        <w:tab/>
      </w:r>
      <w:r w:rsidR="00DD5E95" w:rsidRPr="001D7F6C">
        <w:tab/>
      </w:r>
      <w:r w:rsidR="00DD5E95" w:rsidRPr="001D7F6C">
        <w:tab/>
      </w:r>
      <w:r w:rsidR="00DD5E95" w:rsidRPr="001D7F6C">
        <w:tab/>
      </w:r>
      <w:r w:rsidR="00DD5E95" w:rsidRPr="001D7F6C">
        <w:tab/>
      </w:r>
      <w:r w:rsidR="00DD5E95" w:rsidRPr="001D7F6C">
        <w:tab/>
      </w:r>
      <w:r w:rsidR="00DD5E95" w:rsidRPr="001D7F6C">
        <w:tab/>
      </w:r>
      <w:r w:rsidR="00DD5E95" w:rsidRPr="001D7F6C">
        <w:tab/>
      </w:r>
      <w:r w:rsidR="00DD5E95" w:rsidRPr="001D7F6C">
        <w:tab/>
      </w:r>
      <w:r w:rsidR="001D7F6C" w:rsidRPr="001D7F6C">
        <w:tab/>
      </w:r>
      <w:r w:rsidR="00242E90" w:rsidRPr="001D7F6C">
        <w:t>129 - 130</w:t>
      </w:r>
      <w:r w:rsidR="00DD5E95" w:rsidRPr="001D7F6C">
        <w:tab/>
        <w:t xml:space="preserve">  </w:t>
      </w:r>
    </w:p>
    <w:p w14:paraId="018A52AE" w14:textId="77777777" w:rsidR="00CA1CE3" w:rsidRPr="001D7F6C" w:rsidRDefault="00CA1CE3" w:rsidP="00633C62">
      <w:pPr>
        <w:pStyle w:val="ParaLevel1"/>
        <w:numPr>
          <w:ilvl w:val="0"/>
          <w:numId w:val="0"/>
        </w:numPr>
        <w:ind w:left="-284" w:right="-284" w:hanging="720"/>
        <w:jc w:val="left"/>
        <w:rPr>
          <w:bCs/>
          <w:szCs w:val="24"/>
        </w:rPr>
      </w:pPr>
    </w:p>
    <w:p w14:paraId="4D0F0FAB" w14:textId="67FEBFDD" w:rsidR="009D79F5" w:rsidRDefault="009D79F5" w:rsidP="00633C62">
      <w:pPr>
        <w:spacing w:before="120" w:after="120"/>
      </w:pPr>
    </w:p>
    <w:p w14:paraId="3313732D" w14:textId="77777777" w:rsidR="00EA6B5F" w:rsidRPr="004F0F2C" w:rsidRDefault="00EA6B5F" w:rsidP="00EA6B5F">
      <w:pPr>
        <w:spacing w:before="120" w:after="120"/>
        <w:sectPr w:rsidR="00EA6B5F" w:rsidRPr="004F0F2C">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5892EBED" w14:textId="0D5D1ED8" w:rsidR="005E2342" w:rsidRDefault="008233AC">
      <w:pPr>
        <w:spacing w:after="240"/>
      </w:pPr>
      <w:r>
        <w:rPr>
          <w:b/>
        </w:rPr>
        <w:lastRenderedPageBreak/>
        <w:t>MRS JUSTICE EADY</w:t>
      </w:r>
      <w:r w:rsidR="005E2342">
        <w:rPr>
          <w:b/>
        </w:rPr>
        <w:t>:</w:t>
      </w:r>
      <w:r w:rsidR="005E2342">
        <w:t xml:space="preserve"> </w:t>
      </w:r>
    </w:p>
    <w:p w14:paraId="1771D84A" w14:textId="77777777" w:rsidR="005E2342" w:rsidRDefault="005E2342">
      <w:pPr>
        <w:pStyle w:val="ParaHeading"/>
        <w:sectPr w:rsidR="005E2342">
          <w:headerReference w:type="default" r:id="rId18"/>
          <w:footerReference w:type="default" r:id="rId19"/>
          <w:pgSz w:w="11909" w:h="16834" w:code="9"/>
          <w:pgMar w:top="1440" w:right="1440" w:bottom="1440" w:left="1440" w:header="709" w:footer="709" w:gutter="0"/>
          <w:cols w:space="720"/>
          <w:formProt w:val="0"/>
        </w:sectPr>
      </w:pPr>
    </w:p>
    <w:p w14:paraId="6CC216FC" w14:textId="474C4ADE" w:rsidR="00FD0ACF" w:rsidRPr="00DA125C" w:rsidRDefault="00FD0ACF" w:rsidP="000768DC">
      <w:pPr>
        <w:pStyle w:val="ParaLevel1"/>
        <w:numPr>
          <w:ilvl w:val="0"/>
          <w:numId w:val="0"/>
        </w:numPr>
        <w:ind w:left="720" w:hanging="720"/>
        <w:rPr>
          <w:b/>
          <w:bCs/>
        </w:rPr>
      </w:pPr>
      <w:bookmarkStart w:id="1" w:name="Intro"/>
      <w:r w:rsidRPr="00DA125C">
        <w:rPr>
          <w:b/>
          <w:bCs/>
        </w:rPr>
        <w:t>Introduction</w:t>
      </w:r>
    </w:p>
    <w:bookmarkEnd w:id="1"/>
    <w:p w14:paraId="452D9B00" w14:textId="020F23F1" w:rsidR="00BF21BD" w:rsidRPr="00DB620D" w:rsidRDefault="00F313C6" w:rsidP="000768DC">
      <w:pPr>
        <w:pStyle w:val="ParaLevel1"/>
        <w:rPr>
          <w:szCs w:val="24"/>
        </w:rPr>
      </w:pPr>
      <w:r w:rsidRPr="00DB620D">
        <w:rPr>
          <w:szCs w:val="24"/>
        </w:rPr>
        <w:t xml:space="preserve">A wedding </w:t>
      </w:r>
      <w:r w:rsidR="00D42584" w:rsidRPr="00DB620D">
        <w:rPr>
          <w:szCs w:val="24"/>
        </w:rPr>
        <w:t xml:space="preserve">is not only </w:t>
      </w:r>
      <w:r w:rsidRPr="00DB620D">
        <w:rPr>
          <w:szCs w:val="24"/>
        </w:rPr>
        <w:t xml:space="preserve">an event </w:t>
      </w:r>
      <w:r w:rsidR="00D42584" w:rsidRPr="00DB620D">
        <w:rPr>
          <w:szCs w:val="24"/>
        </w:rPr>
        <w:t xml:space="preserve">of </w:t>
      </w:r>
      <w:r w:rsidR="00892976" w:rsidRPr="00DB620D">
        <w:rPr>
          <w:szCs w:val="24"/>
        </w:rPr>
        <w:t xml:space="preserve">personal significance for the couple </w:t>
      </w:r>
      <w:r w:rsidR="001B7CF1">
        <w:rPr>
          <w:szCs w:val="24"/>
        </w:rPr>
        <w:t>concerned</w:t>
      </w:r>
      <w:r w:rsidR="008E0B6F">
        <w:rPr>
          <w:szCs w:val="24"/>
        </w:rPr>
        <w:t>;</w:t>
      </w:r>
      <w:r w:rsidR="00D42584" w:rsidRPr="00DB620D">
        <w:rPr>
          <w:szCs w:val="24"/>
        </w:rPr>
        <w:t xml:space="preserve"> it has</w:t>
      </w:r>
      <w:r w:rsidR="00387690" w:rsidRPr="00DB620D">
        <w:rPr>
          <w:szCs w:val="24"/>
        </w:rPr>
        <w:t xml:space="preserve"> legal implications</w:t>
      </w:r>
      <w:r w:rsidR="00FA4ED0" w:rsidRPr="00DB620D">
        <w:rPr>
          <w:szCs w:val="24"/>
        </w:rPr>
        <w:t xml:space="preserve"> </w:t>
      </w:r>
      <w:r w:rsidR="003F2769">
        <w:rPr>
          <w:szCs w:val="24"/>
        </w:rPr>
        <w:t>such that</w:t>
      </w:r>
      <w:r w:rsidR="00D57E36" w:rsidRPr="00DB620D">
        <w:rPr>
          <w:szCs w:val="24"/>
        </w:rPr>
        <w:t xml:space="preserve"> </w:t>
      </w:r>
      <w:r w:rsidR="00A07298" w:rsidRPr="00DB620D">
        <w:rPr>
          <w:szCs w:val="24"/>
        </w:rPr>
        <w:t>there is a wider public interest</w:t>
      </w:r>
      <w:r w:rsidR="00261EF0" w:rsidRPr="00DB620D">
        <w:rPr>
          <w:szCs w:val="24"/>
        </w:rPr>
        <w:t xml:space="preserve"> </w:t>
      </w:r>
      <w:r w:rsidR="00152EA8" w:rsidRPr="00DB620D">
        <w:rPr>
          <w:szCs w:val="24"/>
        </w:rPr>
        <w:t xml:space="preserve">in preventing sham and forced marriages, in </w:t>
      </w:r>
      <w:r w:rsidR="003F4F40" w:rsidRPr="00DB620D">
        <w:rPr>
          <w:szCs w:val="24"/>
        </w:rPr>
        <w:t>confirming</w:t>
      </w:r>
      <w:r w:rsidR="00152EA8" w:rsidRPr="00DB620D">
        <w:rPr>
          <w:szCs w:val="24"/>
        </w:rPr>
        <w:t xml:space="preserve"> that those who seek to marry are legally free to do so</w:t>
      </w:r>
      <w:r w:rsidR="00282489" w:rsidRPr="00DB620D">
        <w:rPr>
          <w:szCs w:val="24"/>
        </w:rPr>
        <w:t>,</w:t>
      </w:r>
      <w:r w:rsidR="00152EA8" w:rsidRPr="00DB620D">
        <w:rPr>
          <w:szCs w:val="24"/>
        </w:rPr>
        <w:t xml:space="preserve"> and in</w:t>
      </w:r>
      <w:r w:rsidR="003F4F40" w:rsidRPr="00DB620D">
        <w:rPr>
          <w:szCs w:val="24"/>
        </w:rPr>
        <w:t xml:space="preserve"> ensuring </w:t>
      </w:r>
      <w:r w:rsidRPr="00DB620D">
        <w:rPr>
          <w:szCs w:val="24"/>
        </w:rPr>
        <w:t xml:space="preserve">there is certainty </w:t>
      </w:r>
      <w:r w:rsidR="00A07298" w:rsidRPr="00DB620D">
        <w:rPr>
          <w:szCs w:val="24"/>
        </w:rPr>
        <w:t>as to when a marriage has taken place</w:t>
      </w:r>
      <w:r w:rsidR="00282489" w:rsidRPr="00DB620D">
        <w:rPr>
          <w:szCs w:val="24"/>
        </w:rPr>
        <w:t xml:space="preserve">.  </w:t>
      </w:r>
      <w:r w:rsidR="009F2C0D" w:rsidRPr="00DB620D">
        <w:rPr>
          <w:szCs w:val="24"/>
        </w:rPr>
        <w:t xml:space="preserve">The legal recognition of a marriage by the state </w:t>
      </w:r>
      <w:r w:rsidR="00D804E2" w:rsidRPr="00DB620D">
        <w:rPr>
          <w:szCs w:val="24"/>
        </w:rPr>
        <w:t xml:space="preserve">is a matter of considerable importance and this claim concerns the </w:t>
      </w:r>
      <w:r w:rsidR="00B666D9" w:rsidRPr="00DB620D">
        <w:rPr>
          <w:szCs w:val="24"/>
        </w:rPr>
        <w:t xml:space="preserve">requirements laid down under </w:t>
      </w:r>
      <w:r w:rsidR="00684852" w:rsidRPr="00DB620D">
        <w:rPr>
          <w:szCs w:val="24"/>
        </w:rPr>
        <w:t>English law</w:t>
      </w:r>
      <w:r w:rsidR="00B666D9" w:rsidRPr="00DB620D">
        <w:rPr>
          <w:szCs w:val="24"/>
        </w:rPr>
        <w:t xml:space="preserve"> that </w:t>
      </w:r>
      <w:r w:rsidR="004604A3" w:rsidRPr="00DB620D">
        <w:rPr>
          <w:szCs w:val="24"/>
        </w:rPr>
        <w:t>provide for that recognition</w:t>
      </w:r>
      <w:r w:rsidR="00684852" w:rsidRPr="00DB620D">
        <w:rPr>
          <w:szCs w:val="24"/>
        </w:rPr>
        <w:t>.</w:t>
      </w:r>
      <w:r w:rsidR="00CB00D4" w:rsidRPr="00DB620D">
        <w:rPr>
          <w:szCs w:val="24"/>
        </w:rPr>
        <w:t xml:space="preserve">  The Claimants are humanists who complain that </w:t>
      </w:r>
      <w:r w:rsidR="00F806E4" w:rsidRPr="00DB620D">
        <w:rPr>
          <w:szCs w:val="24"/>
        </w:rPr>
        <w:t xml:space="preserve">the legal recognition </w:t>
      </w:r>
      <w:r w:rsidR="009A6D62" w:rsidRPr="00DB620D">
        <w:rPr>
          <w:szCs w:val="24"/>
        </w:rPr>
        <w:t xml:space="preserve">of different forms of religious wedding ceremony </w:t>
      </w:r>
      <w:r w:rsidR="00463FD4">
        <w:rPr>
          <w:szCs w:val="24"/>
        </w:rPr>
        <w:t xml:space="preserve">under English law </w:t>
      </w:r>
      <w:r w:rsidR="00323D93" w:rsidRPr="00DB620D">
        <w:rPr>
          <w:szCs w:val="24"/>
        </w:rPr>
        <w:t xml:space="preserve">does not </w:t>
      </w:r>
      <w:r w:rsidR="00740273" w:rsidRPr="00DB620D">
        <w:rPr>
          <w:szCs w:val="24"/>
        </w:rPr>
        <w:t xml:space="preserve">similarly </w:t>
      </w:r>
      <w:r w:rsidR="00323D93" w:rsidRPr="00DB620D">
        <w:rPr>
          <w:szCs w:val="24"/>
        </w:rPr>
        <w:t>extend to</w:t>
      </w:r>
      <w:r w:rsidR="00A102EA" w:rsidRPr="00DB620D">
        <w:rPr>
          <w:szCs w:val="24"/>
        </w:rPr>
        <w:t xml:space="preserve"> weddings carried out</w:t>
      </w:r>
      <w:r w:rsidR="004C4DB2">
        <w:rPr>
          <w:szCs w:val="24"/>
        </w:rPr>
        <w:t xml:space="preserve"> in accordance with </w:t>
      </w:r>
      <w:r w:rsidR="00A102EA" w:rsidRPr="00DB620D">
        <w:rPr>
          <w:szCs w:val="24"/>
        </w:rPr>
        <w:t>their humanist beliefs</w:t>
      </w:r>
      <w:r w:rsidR="0077469B">
        <w:rPr>
          <w:szCs w:val="24"/>
        </w:rPr>
        <w:t xml:space="preserve">; they contend that this </w:t>
      </w:r>
      <w:r w:rsidR="00BD29AF">
        <w:rPr>
          <w:szCs w:val="24"/>
        </w:rPr>
        <w:t xml:space="preserve">gives rise to an unjustified discrimination in </w:t>
      </w:r>
      <w:r w:rsidR="003F55AC">
        <w:rPr>
          <w:szCs w:val="24"/>
        </w:rPr>
        <w:t>the</w:t>
      </w:r>
      <w:r w:rsidR="00F62438">
        <w:rPr>
          <w:szCs w:val="24"/>
        </w:rPr>
        <w:t xml:space="preserve"> exercise of their rights under the European Convention on Human Rights (“ECHR”) and thus breaches the Human Rights Act 1998 (“the </w:t>
      </w:r>
      <w:proofErr w:type="spellStart"/>
      <w:r w:rsidR="00F62438">
        <w:rPr>
          <w:szCs w:val="24"/>
        </w:rPr>
        <w:t>HRA</w:t>
      </w:r>
      <w:proofErr w:type="spellEnd"/>
      <w:r w:rsidR="00F62438">
        <w:rPr>
          <w:szCs w:val="24"/>
        </w:rPr>
        <w:t>”)</w:t>
      </w:r>
      <w:r w:rsidR="00A102EA" w:rsidRPr="00DB620D">
        <w:rPr>
          <w:szCs w:val="24"/>
        </w:rPr>
        <w:t>.</w:t>
      </w:r>
      <w:r w:rsidR="00684852" w:rsidRPr="00DB620D">
        <w:rPr>
          <w:szCs w:val="24"/>
        </w:rPr>
        <w:t xml:space="preserve"> </w:t>
      </w:r>
      <w:r w:rsidR="009D79F5">
        <w:rPr>
          <w:szCs w:val="24"/>
        </w:rPr>
        <w:t xml:space="preserve"> </w:t>
      </w:r>
    </w:p>
    <w:p w14:paraId="657F9E69" w14:textId="6CA8DF3D" w:rsidR="001C02B1" w:rsidRPr="00DB620D" w:rsidRDefault="005B7D5C" w:rsidP="000768DC">
      <w:pPr>
        <w:pStyle w:val="ParaLevel1"/>
        <w:rPr>
          <w:szCs w:val="24"/>
        </w:rPr>
      </w:pPr>
      <w:r w:rsidRPr="00DB620D">
        <w:rPr>
          <w:szCs w:val="24"/>
        </w:rPr>
        <w:t xml:space="preserve">Permission to apply for judicial review was granted by Mrs Justice Steyn on the sole </w:t>
      </w:r>
      <w:r w:rsidR="00E42CD3" w:rsidRPr="00DB620D">
        <w:rPr>
          <w:szCs w:val="24"/>
        </w:rPr>
        <w:t xml:space="preserve">ground </w:t>
      </w:r>
      <w:r w:rsidR="00F57FD1" w:rsidRPr="00DB620D">
        <w:rPr>
          <w:szCs w:val="24"/>
        </w:rPr>
        <w:t>whereby the Claimants contend that</w:t>
      </w:r>
      <w:r w:rsidR="00F6312B" w:rsidRPr="00DB620D">
        <w:rPr>
          <w:szCs w:val="24"/>
        </w:rPr>
        <w:t xml:space="preserve"> </w:t>
      </w:r>
      <w:r w:rsidR="00960F6F" w:rsidRPr="00DB620D">
        <w:rPr>
          <w:szCs w:val="24"/>
        </w:rPr>
        <w:t xml:space="preserve">English </w:t>
      </w:r>
      <w:r w:rsidR="00F6312B" w:rsidRPr="00DB620D">
        <w:rPr>
          <w:szCs w:val="24"/>
        </w:rPr>
        <w:t xml:space="preserve">law </w:t>
      </w:r>
      <w:r w:rsidR="006331F3" w:rsidRPr="00DB620D">
        <w:rPr>
          <w:szCs w:val="24"/>
        </w:rPr>
        <w:t>breaches their rights under article 14, taken together with articles 8, 9 and</w:t>
      </w:r>
      <w:r w:rsidR="00CD06A1">
        <w:rPr>
          <w:szCs w:val="24"/>
        </w:rPr>
        <w:t>/or</w:t>
      </w:r>
      <w:r w:rsidR="007D1C01" w:rsidRPr="00DB620D">
        <w:rPr>
          <w:szCs w:val="24"/>
        </w:rPr>
        <w:t xml:space="preserve"> </w:t>
      </w:r>
      <w:r w:rsidR="006331F3" w:rsidRPr="00DB620D">
        <w:rPr>
          <w:szCs w:val="24"/>
        </w:rPr>
        <w:t xml:space="preserve">12 of the </w:t>
      </w:r>
      <w:r w:rsidR="00A833CE" w:rsidRPr="00DB620D">
        <w:rPr>
          <w:szCs w:val="24"/>
        </w:rPr>
        <w:t>ECHR</w:t>
      </w:r>
      <w:r w:rsidR="001C02B1" w:rsidRPr="00DB620D">
        <w:rPr>
          <w:szCs w:val="24"/>
        </w:rPr>
        <w:t xml:space="preserve">. </w:t>
      </w:r>
      <w:r w:rsidR="00853249" w:rsidRPr="00DB620D">
        <w:rPr>
          <w:szCs w:val="24"/>
        </w:rPr>
        <w:t xml:space="preserve"> </w:t>
      </w:r>
      <w:r w:rsidR="0086586F" w:rsidRPr="00DB620D">
        <w:rPr>
          <w:szCs w:val="24"/>
        </w:rPr>
        <w:t>T</w:t>
      </w:r>
      <w:r w:rsidR="00853249" w:rsidRPr="00DB620D">
        <w:rPr>
          <w:szCs w:val="24"/>
        </w:rPr>
        <w:t>he Claimants</w:t>
      </w:r>
      <w:r w:rsidR="0037238E" w:rsidRPr="00DB620D">
        <w:rPr>
          <w:szCs w:val="24"/>
        </w:rPr>
        <w:t xml:space="preserve"> – six couples who identify as humanists -</w:t>
      </w:r>
      <w:r w:rsidR="00853249" w:rsidRPr="00DB620D">
        <w:rPr>
          <w:szCs w:val="24"/>
        </w:rPr>
        <w:t xml:space="preserve"> have </w:t>
      </w:r>
      <w:r w:rsidR="00E855FC" w:rsidRPr="00DB620D">
        <w:rPr>
          <w:szCs w:val="24"/>
        </w:rPr>
        <w:t xml:space="preserve">submitted </w:t>
      </w:r>
      <w:r w:rsidR="00853249" w:rsidRPr="00DB620D">
        <w:rPr>
          <w:szCs w:val="24"/>
        </w:rPr>
        <w:t xml:space="preserve">statements </w:t>
      </w:r>
      <w:r w:rsidR="00E855FC" w:rsidRPr="00DB620D">
        <w:rPr>
          <w:szCs w:val="24"/>
        </w:rPr>
        <w:t xml:space="preserve">in support of their claims, but also </w:t>
      </w:r>
      <w:r w:rsidR="00126D8B" w:rsidRPr="00DB620D">
        <w:rPr>
          <w:szCs w:val="24"/>
        </w:rPr>
        <w:t>rely on evidence from other</w:t>
      </w:r>
      <w:r w:rsidR="0037238E" w:rsidRPr="00DB620D">
        <w:rPr>
          <w:szCs w:val="24"/>
        </w:rPr>
        <w:t xml:space="preserve"> humanists </w:t>
      </w:r>
      <w:r w:rsidR="009C78C7" w:rsidRPr="00DB620D">
        <w:rPr>
          <w:szCs w:val="24"/>
        </w:rPr>
        <w:t>and from expert witnesses</w:t>
      </w:r>
      <w:r w:rsidR="003F28F1" w:rsidRPr="00DB620D">
        <w:rPr>
          <w:szCs w:val="24"/>
        </w:rPr>
        <w:t>,</w:t>
      </w:r>
      <w:r w:rsidR="009C78C7" w:rsidRPr="00DB620D">
        <w:rPr>
          <w:szCs w:val="24"/>
        </w:rPr>
        <w:t xml:space="preserve"> who speak more generally about </w:t>
      </w:r>
      <w:r w:rsidR="005450CB" w:rsidRPr="00DB620D">
        <w:rPr>
          <w:szCs w:val="24"/>
        </w:rPr>
        <w:t>the role and cel</w:t>
      </w:r>
      <w:r w:rsidR="008C5E15" w:rsidRPr="00DB620D">
        <w:rPr>
          <w:szCs w:val="24"/>
        </w:rPr>
        <w:t xml:space="preserve">ebration of marriage </w:t>
      </w:r>
      <w:r w:rsidR="00B110CF" w:rsidRPr="00DB620D">
        <w:rPr>
          <w:szCs w:val="24"/>
        </w:rPr>
        <w:t>by</w:t>
      </w:r>
      <w:r w:rsidR="008C5E15" w:rsidRPr="00DB620D">
        <w:rPr>
          <w:szCs w:val="24"/>
        </w:rPr>
        <w:t xml:space="preserve"> humanists and </w:t>
      </w:r>
      <w:r w:rsidR="00530ABB" w:rsidRPr="00DB620D">
        <w:rPr>
          <w:szCs w:val="24"/>
        </w:rPr>
        <w:t xml:space="preserve">by </w:t>
      </w:r>
      <w:r w:rsidR="00DF2A15" w:rsidRPr="00DB620D">
        <w:rPr>
          <w:szCs w:val="24"/>
        </w:rPr>
        <w:t>those</w:t>
      </w:r>
      <w:r w:rsidR="008C5E15" w:rsidRPr="00DB620D">
        <w:rPr>
          <w:szCs w:val="24"/>
        </w:rPr>
        <w:t xml:space="preserve"> who hold various </w:t>
      </w:r>
      <w:r w:rsidR="00BF67A5" w:rsidRPr="00DB620D">
        <w:rPr>
          <w:szCs w:val="24"/>
        </w:rPr>
        <w:t>religious beliefs</w:t>
      </w:r>
      <w:r w:rsidR="0074316F">
        <w:rPr>
          <w:szCs w:val="24"/>
        </w:rPr>
        <w:t xml:space="preserve"> (the comparators relied on by the Claimants)</w:t>
      </w:r>
      <w:r w:rsidR="00BF67A5" w:rsidRPr="00DB620D">
        <w:rPr>
          <w:szCs w:val="24"/>
        </w:rPr>
        <w:t>.</w:t>
      </w:r>
      <w:r w:rsidR="000E0C05" w:rsidRPr="00DB620D">
        <w:rPr>
          <w:szCs w:val="24"/>
        </w:rPr>
        <w:t xml:space="preserve">  </w:t>
      </w:r>
    </w:p>
    <w:p w14:paraId="06E2D66D" w14:textId="7431A442" w:rsidR="00976099" w:rsidRPr="00DB620D" w:rsidRDefault="00976099" w:rsidP="000768DC">
      <w:pPr>
        <w:pStyle w:val="ParaLevel1"/>
        <w:rPr>
          <w:szCs w:val="24"/>
        </w:rPr>
      </w:pPr>
      <w:r w:rsidRPr="00DB620D">
        <w:rPr>
          <w:szCs w:val="24"/>
        </w:rPr>
        <w:t>The Defendant resists the claim</w:t>
      </w:r>
      <w:r w:rsidR="00812E94" w:rsidRPr="00DB620D">
        <w:rPr>
          <w:szCs w:val="24"/>
        </w:rPr>
        <w:t xml:space="preserve">, contending that </w:t>
      </w:r>
      <w:r w:rsidR="00730B0F" w:rsidRPr="00DB620D">
        <w:rPr>
          <w:szCs w:val="24"/>
        </w:rPr>
        <w:t xml:space="preserve">the system of </w:t>
      </w:r>
      <w:r w:rsidR="00812E94" w:rsidRPr="00DB620D">
        <w:rPr>
          <w:szCs w:val="24"/>
        </w:rPr>
        <w:t xml:space="preserve">marriage </w:t>
      </w:r>
      <w:r w:rsidR="00730B0F" w:rsidRPr="00DB620D">
        <w:rPr>
          <w:szCs w:val="24"/>
        </w:rPr>
        <w:t xml:space="preserve">permitted </w:t>
      </w:r>
      <w:r w:rsidR="00812E94" w:rsidRPr="00DB620D">
        <w:rPr>
          <w:szCs w:val="24"/>
        </w:rPr>
        <w:t xml:space="preserve">under </w:t>
      </w:r>
      <w:r w:rsidR="00B34153" w:rsidRPr="00DB620D">
        <w:rPr>
          <w:szCs w:val="24"/>
        </w:rPr>
        <w:t xml:space="preserve">English </w:t>
      </w:r>
      <w:r w:rsidR="00812E94" w:rsidRPr="00DB620D">
        <w:rPr>
          <w:szCs w:val="24"/>
        </w:rPr>
        <w:t xml:space="preserve">law provides </w:t>
      </w:r>
      <w:r w:rsidR="00A878E2" w:rsidRPr="00DB620D">
        <w:rPr>
          <w:szCs w:val="24"/>
        </w:rPr>
        <w:t>the Claimants</w:t>
      </w:r>
      <w:r w:rsidR="00812E94" w:rsidRPr="00DB620D">
        <w:rPr>
          <w:szCs w:val="24"/>
        </w:rPr>
        <w:t xml:space="preserve"> with a legally recognised, non-religious ceremony </w:t>
      </w:r>
      <w:r w:rsidR="00C426BE" w:rsidRPr="00DB620D">
        <w:rPr>
          <w:szCs w:val="24"/>
        </w:rPr>
        <w:t>that is sufficiently capable of accommodating the</w:t>
      </w:r>
      <w:r w:rsidR="00A878E2" w:rsidRPr="00DB620D">
        <w:rPr>
          <w:szCs w:val="24"/>
        </w:rPr>
        <w:t>ir</w:t>
      </w:r>
      <w:r w:rsidR="00C426BE" w:rsidRPr="00DB620D">
        <w:rPr>
          <w:szCs w:val="24"/>
        </w:rPr>
        <w:t xml:space="preserve"> wishes and beliefs</w:t>
      </w:r>
      <w:r w:rsidR="00144AD0" w:rsidRPr="00DB620D">
        <w:rPr>
          <w:szCs w:val="24"/>
        </w:rPr>
        <w:t xml:space="preserve">.  He submits </w:t>
      </w:r>
      <w:r w:rsidR="003F28F1" w:rsidRPr="00DB620D">
        <w:rPr>
          <w:szCs w:val="24"/>
        </w:rPr>
        <w:t xml:space="preserve">that </w:t>
      </w:r>
      <w:r w:rsidR="00B87567" w:rsidRPr="00DB620D">
        <w:rPr>
          <w:szCs w:val="24"/>
        </w:rPr>
        <w:t>any difference between that which is permitted and the</w:t>
      </w:r>
      <w:r w:rsidR="001078BE" w:rsidRPr="00DB620D">
        <w:rPr>
          <w:szCs w:val="24"/>
        </w:rPr>
        <w:t xml:space="preserve"> recognition of humanist marriages sought by the Claimants</w:t>
      </w:r>
      <w:r w:rsidR="00B87567" w:rsidRPr="00DB620D">
        <w:rPr>
          <w:szCs w:val="24"/>
        </w:rPr>
        <w:t xml:space="preserve"> </w:t>
      </w:r>
      <w:r w:rsidR="00180572" w:rsidRPr="00DB620D">
        <w:rPr>
          <w:szCs w:val="24"/>
        </w:rPr>
        <w:t>do</w:t>
      </w:r>
      <w:r w:rsidR="00CD436C" w:rsidRPr="00DB620D">
        <w:rPr>
          <w:szCs w:val="24"/>
        </w:rPr>
        <w:t>es</w:t>
      </w:r>
      <w:r w:rsidR="00180572" w:rsidRPr="00DB620D">
        <w:rPr>
          <w:szCs w:val="24"/>
        </w:rPr>
        <w:t xml:space="preserve"> not satisfy the requirements for a claim of discrimination contrary to </w:t>
      </w:r>
      <w:r w:rsidR="00D820DA" w:rsidRPr="00DB620D">
        <w:rPr>
          <w:szCs w:val="24"/>
        </w:rPr>
        <w:t>a</w:t>
      </w:r>
      <w:r w:rsidR="00180572" w:rsidRPr="00DB620D">
        <w:rPr>
          <w:szCs w:val="24"/>
        </w:rPr>
        <w:t xml:space="preserve">rticle 14 ECHR. </w:t>
      </w:r>
      <w:r w:rsidR="00D82BE5" w:rsidRPr="00DB620D">
        <w:rPr>
          <w:szCs w:val="24"/>
        </w:rPr>
        <w:t xml:space="preserve"> In </w:t>
      </w:r>
      <w:r w:rsidR="008016BB" w:rsidRPr="00DB620D">
        <w:rPr>
          <w:szCs w:val="24"/>
        </w:rPr>
        <w:t xml:space="preserve">defending these proceedings, the Defendant primarily relies on the evidence given </w:t>
      </w:r>
      <w:r w:rsidR="00150097" w:rsidRPr="00DB620D">
        <w:rPr>
          <w:szCs w:val="24"/>
        </w:rPr>
        <w:t xml:space="preserve">in (and exhibited to) the statement of Mr </w:t>
      </w:r>
      <w:proofErr w:type="spellStart"/>
      <w:r w:rsidR="00150097" w:rsidRPr="00DB620D">
        <w:rPr>
          <w:szCs w:val="24"/>
        </w:rPr>
        <w:t>Barcoe</w:t>
      </w:r>
      <w:proofErr w:type="spellEnd"/>
      <w:r w:rsidR="00150097" w:rsidRPr="00DB620D">
        <w:rPr>
          <w:szCs w:val="24"/>
        </w:rPr>
        <w:t xml:space="preserve">, Deputy Director of Family </w:t>
      </w:r>
      <w:r w:rsidR="002804DF" w:rsidRPr="00DB620D">
        <w:rPr>
          <w:szCs w:val="24"/>
        </w:rPr>
        <w:t>Justice Policy at the Ministry of Justice</w:t>
      </w:r>
      <w:r w:rsidR="00C0630D" w:rsidRPr="00DB620D">
        <w:rPr>
          <w:szCs w:val="24"/>
        </w:rPr>
        <w:t xml:space="preserve">, but has also submitted a statement from Ms Tighe, </w:t>
      </w:r>
      <w:r w:rsidR="0039714F" w:rsidRPr="00DB620D">
        <w:rPr>
          <w:szCs w:val="24"/>
        </w:rPr>
        <w:t>of the General Register Office</w:t>
      </w:r>
      <w:r w:rsidR="00DE0CB9">
        <w:rPr>
          <w:szCs w:val="24"/>
        </w:rPr>
        <w:t xml:space="preserve"> </w:t>
      </w:r>
      <w:r w:rsidR="0039714F" w:rsidRPr="00DB620D">
        <w:rPr>
          <w:szCs w:val="24"/>
        </w:rPr>
        <w:t>for England and Wales</w:t>
      </w:r>
      <w:r w:rsidR="00290463" w:rsidRPr="00DB620D">
        <w:rPr>
          <w:szCs w:val="24"/>
        </w:rPr>
        <w:t xml:space="preserve"> (</w:t>
      </w:r>
      <w:r w:rsidR="00C94DCD">
        <w:rPr>
          <w:szCs w:val="24"/>
        </w:rPr>
        <w:t xml:space="preserve">“the </w:t>
      </w:r>
      <w:proofErr w:type="spellStart"/>
      <w:r w:rsidR="00C94DCD">
        <w:rPr>
          <w:szCs w:val="24"/>
        </w:rPr>
        <w:t>GRO</w:t>
      </w:r>
      <w:proofErr w:type="spellEnd"/>
      <w:r w:rsidR="00C94DCD">
        <w:rPr>
          <w:szCs w:val="24"/>
        </w:rPr>
        <w:t xml:space="preserve">”), </w:t>
      </w:r>
      <w:r w:rsidR="00290463" w:rsidRPr="00DB620D">
        <w:rPr>
          <w:szCs w:val="24"/>
        </w:rPr>
        <w:t xml:space="preserve">the entity that oversees </w:t>
      </w:r>
      <w:r w:rsidR="004F0E88" w:rsidRPr="00DB620D">
        <w:rPr>
          <w:szCs w:val="24"/>
        </w:rPr>
        <w:t xml:space="preserve">the </w:t>
      </w:r>
      <w:r w:rsidR="00FB09DC" w:rsidRPr="00DB620D">
        <w:rPr>
          <w:szCs w:val="24"/>
        </w:rPr>
        <w:t xml:space="preserve">civil registration </w:t>
      </w:r>
      <w:r w:rsidR="004F0E88" w:rsidRPr="00DB620D">
        <w:rPr>
          <w:szCs w:val="24"/>
        </w:rPr>
        <w:t>of marriages</w:t>
      </w:r>
      <w:r w:rsidR="0039714F" w:rsidRPr="00DB620D">
        <w:rPr>
          <w:szCs w:val="24"/>
        </w:rPr>
        <w:t xml:space="preserve">. </w:t>
      </w:r>
    </w:p>
    <w:p w14:paraId="0AED9A59" w14:textId="7D605E02" w:rsidR="006C7249" w:rsidRPr="00DB620D" w:rsidRDefault="0021029B" w:rsidP="000768DC">
      <w:pPr>
        <w:pStyle w:val="ParaLevel1"/>
        <w:rPr>
          <w:szCs w:val="24"/>
        </w:rPr>
      </w:pPr>
      <w:r w:rsidRPr="00DB620D">
        <w:rPr>
          <w:szCs w:val="24"/>
        </w:rPr>
        <w:t xml:space="preserve">The remedy sought by the Claimants in this claim is in the form of declaratory relief; specifically, they seek a declaration </w:t>
      </w:r>
      <w:r w:rsidR="00604FA2" w:rsidRPr="00DB620D">
        <w:rPr>
          <w:szCs w:val="24"/>
        </w:rPr>
        <w:t xml:space="preserve">that </w:t>
      </w:r>
      <w:r w:rsidR="00BD33E0" w:rsidRPr="00DB620D">
        <w:rPr>
          <w:szCs w:val="24"/>
        </w:rPr>
        <w:t xml:space="preserve">the legislation providing for the legal recognition of marriage in England violates their </w:t>
      </w:r>
      <w:r w:rsidR="000F4E04" w:rsidRPr="00DB620D">
        <w:rPr>
          <w:szCs w:val="24"/>
        </w:rPr>
        <w:t xml:space="preserve">rights under the </w:t>
      </w:r>
      <w:proofErr w:type="spellStart"/>
      <w:r w:rsidR="000F4E04" w:rsidRPr="00DB620D">
        <w:rPr>
          <w:szCs w:val="24"/>
        </w:rPr>
        <w:t>HRA</w:t>
      </w:r>
      <w:proofErr w:type="spellEnd"/>
      <w:r w:rsidR="00EC209B" w:rsidRPr="00DB620D">
        <w:rPr>
          <w:szCs w:val="24"/>
        </w:rPr>
        <w:t>,</w:t>
      </w:r>
      <w:r w:rsidR="000F4E04" w:rsidRPr="00DB620D">
        <w:rPr>
          <w:szCs w:val="24"/>
        </w:rPr>
        <w:t xml:space="preserve"> and a declaration </w:t>
      </w:r>
      <w:r w:rsidRPr="00DB620D">
        <w:rPr>
          <w:szCs w:val="24"/>
        </w:rPr>
        <w:t>of incompatibility pursuant to section 4 of th</w:t>
      </w:r>
      <w:r w:rsidR="00EC209B" w:rsidRPr="00DB620D">
        <w:rPr>
          <w:szCs w:val="24"/>
        </w:rPr>
        <w:t xml:space="preserve">e </w:t>
      </w:r>
      <w:proofErr w:type="spellStart"/>
      <w:r w:rsidR="00EC209B" w:rsidRPr="00DB620D">
        <w:rPr>
          <w:szCs w:val="24"/>
        </w:rPr>
        <w:t>HRA</w:t>
      </w:r>
      <w:proofErr w:type="spellEnd"/>
      <w:r w:rsidR="00181A2E" w:rsidRPr="00DB620D">
        <w:rPr>
          <w:szCs w:val="24"/>
        </w:rPr>
        <w:t xml:space="preserve">.  </w:t>
      </w:r>
      <w:r w:rsidR="00A828AA" w:rsidRPr="00DB620D">
        <w:rPr>
          <w:szCs w:val="24"/>
        </w:rPr>
        <w:t xml:space="preserve">The Defendant </w:t>
      </w:r>
      <w:r w:rsidR="005A03A0" w:rsidRPr="00DB620D">
        <w:rPr>
          <w:szCs w:val="24"/>
        </w:rPr>
        <w:t>disputes the Claimants’ claim that there has been any violation of their rights</w:t>
      </w:r>
      <w:r w:rsidR="00924A3A" w:rsidRPr="00DB620D">
        <w:rPr>
          <w:szCs w:val="24"/>
        </w:rPr>
        <w:t>, arguing that</w:t>
      </w:r>
      <w:r w:rsidR="00C7543D" w:rsidRPr="00DB620D">
        <w:rPr>
          <w:szCs w:val="24"/>
        </w:rPr>
        <w:t>,</w:t>
      </w:r>
      <w:r w:rsidR="00924A3A" w:rsidRPr="00DB620D">
        <w:rPr>
          <w:szCs w:val="24"/>
        </w:rPr>
        <w:t xml:space="preserve"> even if there is any di</w:t>
      </w:r>
      <w:r w:rsidR="0025127C" w:rsidRPr="00DB620D">
        <w:rPr>
          <w:szCs w:val="24"/>
        </w:rPr>
        <w:t xml:space="preserve">fference in treatment </w:t>
      </w:r>
      <w:r w:rsidR="004D705E" w:rsidRPr="00DB620D">
        <w:rPr>
          <w:szCs w:val="24"/>
        </w:rPr>
        <w:t xml:space="preserve">between the Claimants and their religious comparators, </w:t>
      </w:r>
      <w:r w:rsidR="00B47B1A" w:rsidRPr="00DB620D">
        <w:rPr>
          <w:szCs w:val="24"/>
        </w:rPr>
        <w:t xml:space="preserve">the measures </w:t>
      </w:r>
      <w:r w:rsidR="00B3639C" w:rsidRPr="00DB620D">
        <w:rPr>
          <w:szCs w:val="24"/>
        </w:rPr>
        <w:t>under challenge are objectively and reasonably justified</w:t>
      </w:r>
      <w:r w:rsidR="00A32FF1" w:rsidRPr="00DB620D">
        <w:rPr>
          <w:szCs w:val="24"/>
        </w:rPr>
        <w:t xml:space="preserve">, </w:t>
      </w:r>
      <w:r w:rsidR="00A96295" w:rsidRPr="00DB620D">
        <w:rPr>
          <w:szCs w:val="24"/>
        </w:rPr>
        <w:t>not least</w:t>
      </w:r>
      <w:r w:rsidR="00A32FF1" w:rsidRPr="00DB620D">
        <w:rPr>
          <w:szCs w:val="24"/>
        </w:rPr>
        <w:t xml:space="preserve"> given</w:t>
      </w:r>
      <w:r w:rsidR="00A96295" w:rsidRPr="00DB620D">
        <w:rPr>
          <w:szCs w:val="24"/>
        </w:rPr>
        <w:t xml:space="preserve"> </w:t>
      </w:r>
      <w:r w:rsidR="00A32FF1" w:rsidRPr="00DB620D">
        <w:rPr>
          <w:szCs w:val="24"/>
        </w:rPr>
        <w:t xml:space="preserve">ongoing consideration of </w:t>
      </w:r>
      <w:r w:rsidR="003078D3" w:rsidRPr="00DB620D">
        <w:rPr>
          <w:szCs w:val="24"/>
        </w:rPr>
        <w:t xml:space="preserve">reform </w:t>
      </w:r>
      <w:r w:rsidR="00A96295" w:rsidRPr="00DB620D">
        <w:rPr>
          <w:szCs w:val="24"/>
        </w:rPr>
        <w:t>in this area</w:t>
      </w:r>
      <w:r w:rsidR="006C7249" w:rsidRPr="00DB620D">
        <w:rPr>
          <w:szCs w:val="24"/>
        </w:rPr>
        <w:t xml:space="preserve"> of social policy</w:t>
      </w:r>
      <w:r w:rsidR="00A96295" w:rsidRPr="00DB620D">
        <w:rPr>
          <w:szCs w:val="24"/>
        </w:rPr>
        <w:t xml:space="preserve">. </w:t>
      </w:r>
      <w:r w:rsidR="00F14381" w:rsidRPr="00DB620D">
        <w:rPr>
          <w:szCs w:val="24"/>
        </w:rPr>
        <w:t xml:space="preserve"> </w:t>
      </w:r>
    </w:p>
    <w:p w14:paraId="0D855E84" w14:textId="21937616" w:rsidR="00C55F69" w:rsidRPr="00DB620D" w:rsidRDefault="00C55F69" w:rsidP="000768DC">
      <w:pPr>
        <w:pStyle w:val="ParaLevel1"/>
        <w:numPr>
          <w:ilvl w:val="0"/>
          <w:numId w:val="0"/>
        </w:numPr>
        <w:rPr>
          <w:b/>
          <w:bCs/>
          <w:szCs w:val="24"/>
        </w:rPr>
      </w:pPr>
      <w:bookmarkStart w:id="2" w:name="marriage_according_to_english_law"/>
      <w:r w:rsidRPr="00DB620D">
        <w:rPr>
          <w:b/>
          <w:bCs/>
          <w:szCs w:val="24"/>
        </w:rPr>
        <w:t xml:space="preserve">Marriage According to </w:t>
      </w:r>
      <w:r w:rsidR="003B2D60" w:rsidRPr="00DB620D">
        <w:rPr>
          <w:b/>
          <w:bCs/>
          <w:szCs w:val="24"/>
        </w:rPr>
        <w:t>English</w:t>
      </w:r>
      <w:r w:rsidRPr="00DB620D">
        <w:rPr>
          <w:b/>
          <w:bCs/>
          <w:szCs w:val="24"/>
        </w:rPr>
        <w:t xml:space="preserve"> Law</w:t>
      </w:r>
    </w:p>
    <w:bookmarkEnd w:id="2"/>
    <w:p w14:paraId="2348621F" w14:textId="55C97708" w:rsidR="003834D8" w:rsidRPr="00DB620D" w:rsidRDefault="00DD4F13" w:rsidP="000768DC">
      <w:pPr>
        <w:pStyle w:val="ParaLevel1"/>
        <w:rPr>
          <w:szCs w:val="24"/>
        </w:rPr>
      </w:pPr>
      <w:r w:rsidRPr="00DB620D">
        <w:rPr>
          <w:szCs w:val="24"/>
        </w:rPr>
        <w:t xml:space="preserve">The history of the statutory regulation of marriage in England is summarised in </w:t>
      </w:r>
      <w:r w:rsidRPr="00DB620D">
        <w:rPr>
          <w:i/>
          <w:iCs/>
          <w:szCs w:val="24"/>
        </w:rPr>
        <w:t>A v A</w:t>
      </w:r>
      <w:r w:rsidRPr="00DB620D">
        <w:rPr>
          <w:szCs w:val="24"/>
        </w:rPr>
        <w:t xml:space="preserve"> [2013] Fam 51 at paragraphs 42-52</w:t>
      </w:r>
      <w:r w:rsidR="00AF35A2">
        <w:rPr>
          <w:szCs w:val="24"/>
        </w:rPr>
        <w:t>,</w:t>
      </w:r>
      <w:r w:rsidRPr="00DB620D">
        <w:rPr>
          <w:szCs w:val="24"/>
        </w:rPr>
        <w:t xml:space="preserve"> and by the Court of Appeal in </w:t>
      </w:r>
      <w:r w:rsidRPr="00DB620D">
        <w:rPr>
          <w:i/>
          <w:szCs w:val="24"/>
        </w:rPr>
        <w:t>Akhter v Khan</w:t>
      </w:r>
      <w:r w:rsidRPr="00DB620D">
        <w:rPr>
          <w:szCs w:val="24"/>
        </w:rPr>
        <w:t xml:space="preserve"> [2020] 2 WLR 1183 at paragraphs 32-39.  That history </w:t>
      </w:r>
      <w:r w:rsidR="00CD6A04" w:rsidRPr="00DB620D">
        <w:rPr>
          <w:szCs w:val="24"/>
        </w:rPr>
        <w:t>explains how we arrived at the current position</w:t>
      </w:r>
      <w:r w:rsidR="00EB494B" w:rsidRPr="00DB620D">
        <w:rPr>
          <w:szCs w:val="24"/>
        </w:rPr>
        <w:t>,</w:t>
      </w:r>
      <w:r w:rsidR="009B7CE8" w:rsidRPr="00DB620D">
        <w:rPr>
          <w:szCs w:val="24"/>
        </w:rPr>
        <w:t xml:space="preserve"> which is </w:t>
      </w:r>
      <w:r w:rsidR="007B4597" w:rsidRPr="00DB620D">
        <w:rPr>
          <w:szCs w:val="24"/>
        </w:rPr>
        <w:t xml:space="preserve">primarily </w:t>
      </w:r>
      <w:r w:rsidR="009A7D49" w:rsidRPr="00DB620D">
        <w:rPr>
          <w:szCs w:val="24"/>
        </w:rPr>
        <w:t xml:space="preserve">set out within the Marriage Act 1949 (“the 1949 Act”). </w:t>
      </w:r>
      <w:r w:rsidR="003C1302" w:rsidRPr="00DB620D">
        <w:rPr>
          <w:szCs w:val="24"/>
        </w:rPr>
        <w:t xml:space="preserve"> </w:t>
      </w:r>
      <w:r w:rsidR="003C1302" w:rsidRPr="00DB620D">
        <w:rPr>
          <w:szCs w:val="24"/>
        </w:rPr>
        <w:lastRenderedPageBreak/>
        <w:t>Within the 1949 Act, t</w:t>
      </w:r>
      <w:r w:rsidR="00C55F69" w:rsidRPr="00DB620D">
        <w:rPr>
          <w:szCs w:val="24"/>
        </w:rPr>
        <w:t xml:space="preserve">here is separate provision for the solemnization of marriage according to the rites of the Church of England (see Part II) and for solemnization of marriages in naval, military, and air force chapels (Part V); otherwise, legal recognition is provided by Part III of the </w:t>
      </w:r>
      <w:r w:rsidR="00BC4699" w:rsidRPr="00DB620D">
        <w:rPr>
          <w:szCs w:val="24"/>
        </w:rPr>
        <w:t xml:space="preserve">1949 </w:t>
      </w:r>
      <w:r w:rsidR="00C55F69" w:rsidRPr="00DB620D">
        <w:rPr>
          <w:szCs w:val="24"/>
        </w:rPr>
        <w:t xml:space="preserve">Act, requiring authorisation by a superintendent registrar.  </w:t>
      </w:r>
    </w:p>
    <w:p w14:paraId="50879A63" w14:textId="785B9910" w:rsidR="00C55F69" w:rsidRPr="00DB620D" w:rsidRDefault="00BC4699" w:rsidP="000768DC">
      <w:pPr>
        <w:pStyle w:val="ParaLevel1"/>
        <w:rPr>
          <w:szCs w:val="24"/>
        </w:rPr>
      </w:pPr>
      <w:r w:rsidRPr="00DB620D">
        <w:rPr>
          <w:szCs w:val="24"/>
        </w:rPr>
        <w:t>Within Part III, f</w:t>
      </w:r>
      <w:r w:rsidR="00C55F69" w:rsidRPr="00DB620D">
        <w:rPr>
          <w:szCs w:val="24"/>
        </w:rPr>
        <w:t>or opposite</w:t>
      </w:r>
      <w:r w:rsidR="003834D8" w:rsidRPr="00DB620D">
        <w:rPr>
          <w:szCs w:val="24"/>
        </w:rPr>
        <w:t>-</w:t>
      </w:r>
      <w:r w:rsidR="00C55F69" w:rsidRPr="00DB620D">
        <w:rPr>
          <w:szCs w:val="24"/>
        </w:rPr>
        <w:t>sex couples, section 26</w:t>
      </w:r>
      <w:r w:rsidRPr="00DB620D">
        <w:rPr>
          <w:szCs w:val="24"/>
        </w:rPr>
        <w:t>(1)</w:t>
      </w:r>
      <w:r w:rsidR="00C55F69" w:rsidRPr="00DB620D">
        <w:rPr>
          <w:szCs w:val="24"/>
        </w:rPr>
        <w:t xml:space="preserve"> provides</w:t>
      </w:r>
      <w:r w:rsidR="00B31899" w:rsidRPr="00DB620D">
        <w:rPr>
          <w:szCs w:val="24"/>
        </w:rPr>
        <w:t xml:space="preserve"> as follows</w:t>
      </w:r>
      <w:r w:rsidR="00C55F69" w:rsidRPr="00DB620D">
        <w:rPr>
          <w:szCs w:val="24"/>
        </w:rPr>
        <w:t>:</w:t>
      </w:r>
    </w:p>
    <w:p w14:paraId="7D3A96C9" w14:textId="77777777" w:rsidR="00C55F69" w:rsidRPr="009E4EDC" w:rsidRDefault="00C55F69" w:rsidP="000768DC">
      <w:pPr>
        <w:pStyle w:val="Quote"/>
        <w:rPr>
          <w:szCs w:val="24"/>
        </w:rPr>
      </w:pPr>
      <w:r w:rsidRPr="009E4EDC">
        <w:rPr>
          <w:szCs w:val="24"/>
        </w:rPr>
        <w:t xml:space="preserve">“(1) The following marriages may be solemnized on the authority of two certificates of a superintendent registrar— </w:t>
      </w:r>
    </w:p>
    <w:p w14:paraId="4BB7A085" w14:textId="77777777" w:rsidR="00C55F69" w:rsidRPr="009E4EDC" w:rsidRDefault="00C55F69" w:rsidP="000768DC">
      <w:pPr>
        <w:pStyle w:val="Quote"/>
        <w:rPr>
          <w:szCs w:val="24"/>
        </w:rPr>
      </w:pPr>
      <w:r w:rsidRPr="009E4EDC">
        <w:rPr>
          <w:szCs w:val="24"/>
        </w:rPr>
        <w:t xml:space="preserve">(a) a marriage of a man and a woman, in a building registered under section 41, according to such form and ceremony as the persons to be married see fit to adopt; </w:t>
      </w:r>
    </w:p>
    <w:p w14:paraId="5E95DFC3" w14:textId="77777777" w:rsidR="00C55F69" w:rsidRPr="00FB7C54" w:rsidRDefault="00C55F69" w:rsidP="000768DC">
      <w:pPr>
        <w:pStyle w:val="Quote"/>
      </w:pPr>
      <w:r w:rsidRPr="009E4EDC">
        <w:rPr>
          <w:szCs w:val="24"/>
        </w:rPr>
        <w:t xml:space="preserve">(b) a marriage of any couple in the office of a superintendent </w:t>
      </w:r>
      <w:r w:rsidRPr="00FB7C54">
        <w:t xml:space="preserve">registrar; </w:t>
      </w:r>
    </w:p>
    <w:p w14:paraId="36B626B0" w14:textId="77777777" w:rsidR="00C55F69" w:rsidRPr="00FB7C54" w:rsidRDefault="00C55F69" w:rsidP="000768DC">
      <w:pPr>
        <w:pStyle w:val="Quote"/>
      </w:pPr>
      <w:r w:rsidRPr="00FB7C54">
        <w:t xml:space="preserve">(bb) a marriage of any couple on approved premises; </w:t>
      </w:r>
    </w:p>
    <w:p w14:paraId="04F70888" w14:textId="77777777" w:rsidR="00C55F69" w:rsidRPr="00FB7C54" w:rsidRDefault="00C55F69" w:rsidP="000768DC">
      <w:pPr>
        <w:pStyle w:val="Quote"/>
      </w:pPr>
      <w:r>
        <w:t xml:space="preserve">(c) </w:t>
      </w:r>
      <w:r w:rsidRPr="00FB7C54">
        <w:t xml:space="preserve">a marriage of a man and a woman according to the usages of the Society of Friends (commonly called Quakers); </w:t>
      </w:r>
    </w:p>
    <w:p w14:paraId="140EEDAD" w14:textId="77777777" w:rsidR="00C55F69" w:rsidRPr="00FB7C54" w:rsidRDefault="00C55F69" w:rsidP="000768DC">
      <w:pPr>
        <w:pStyle w:val="Quote"/>
      </w:pPr>
      <w:r>
        <w:t xml:space="preserve">(d) </w:t>
      </w:r>
      <w:r w:rsidRPr="00FB7C54">
        <w:t xml:space="preserve">a marriage between a man and a woman professing the Jewish religion according to the usages of the Jews; </w:t>
      </w:r>
    </w:p>
    <w:p w14:paraId="1BC0B607" w14:textId="29F9C176" w:rsidR="00C55F69" w:rsidRPr="00FB7C54" w:rsidRDefault="00C55F69" w:rsidP="000768DC">
      <w:pPr>
        <w:pStyle w:val="Quote"/>
      </w:pPr>
      <w:r w:rsidRPr="00FB7C54">
        <w:t>(</w:t>
      </w:r>
      <w:proofErr w:type="spellStart"/>
      <w:r w:rsidRPr="00FB7C54">
        <w:t>dd</w:t>
      </w:r>
      <w:proofErr w:type="spellEnd"/>
      <w:r w:rsidRPr="00FB7C54">
        <w:t xml:space="preserve">) </w:t>
      </w:r>
      <w:r w:rsidR="00F5558E">
        <w:t>a qualifying residential marriage;</w:t>
      </w:r>
    </w:p>
    <w:p w14:paraId="54416B38" w14:textId="50FEDC43" w:rsidR="00F5558E" w:rsidRDefault="00C55F69" w:rsidP="000768DC">
      <w:pPr>
        <w:pStyle w:val="Quote"/>
      </w:pPr>
      <w:r>
        <w:t xml:space="preserve">(e) </w:t>
      </w:r>
      <w:r w:rsidRPr="00FB7C54">
        <w:t>a marriage of a man and a woman according to the rites of the Church of England in any church or chapel in which banns of matrimony may be published.</w:t>
      </w:r>
      <w:r>
        <w:t>”</w:t>
      </w:r>
      <w:r w:rsidRPr="00FB7C54">
        <w:t xml:space="preserve"> </w:t>
      </w:r>
      <w:r>
        <w:t xml:space="preserve"> </w:t>
      </w:r>
    </w:p>
    <w:p w14:paraId="762B42D7" w14:textId="47D221EA" w:rsidR="0034445B" w:rsidRDefault="0035164B" w:rsidP="000768DC">
      <w:pPr>
        <w:pStyle w:val="ParaLevel1"/>
      </w:pPr>
      <w:r>
        <w:t>I note at this stage that all the Claimants are in opposite-sex relationships</w:t>
      </w:r>
      <w:r w:rsidR="00C52A41">
        <w:t>; I have, therefore, not included references to the statutory provisions relating to same-sex couples</w:t>
      </w:r>
      <w:r w:rsidR="00AB3852">
        <w:t>.  I</w:t>
      </w:r>
      <w:r w:rsidR="00F238C2">
        <w:t>t is also convenient to observe here that</w:t>
      </w:r>
      <w:r w:rsidR="0016346B">
        <w:t xml:space="preserve"> the reference to “qualifying residential marriage” at section 26(1)(</w:t>
      </w:r>
      <w:proofErr w:type="spellStart"/>
      <w:r w:rsidR="0016346B">
        <w:t>dd</w:t>
      </w:r>
      <w:proofErr w:type="spellEnd"/>
      <w:r w:rsidR="0016346B">
        <w:t>)</w:t>
      </w:r>
      <w:r w:rsidR="007D130D">
        <w:t xml:space="preserve"> </w:t>
      </w:r>
      <w:r w:rsidR="008177AC">
        <w:t>is to a marriage where one or each of the marrying couple is housebound or detained; it is, again, not a situation relevant to any Claimant.</w:t>
      </w:r>
      <w:r w:rsidR="005200E1">
        <w:t xml:space="preserve">  </w:t>
      </w:r>
      <w:r w:rsidR="008177AC">
        <w:t xml:space="preserve"> </w:t>
      </w:r>
    </w:p>
    <w:p w14:paraId="0404E94E" w14:textId="0FE7958D" w:rsidR="00C55F69" w:rsidRDefault="00817D70" w:rsidP="000768DC">
      <w:pPr>
        <w:pStyle w:val="ParaLevel1"/>
      </w:pPr>
      <w:r>
        <w:t xml:space="preserve">For </w:t>
      </w:r>
      <w:r w:rsidR="008C3C25">
        <w:t xml:space="preserve">all </w:t>
      </w:r>
      <w:r>
        <w:t xml:space="preserve">marriages </w:t>
      </w:r>
      <w:r w:rsidR="00E703FC">
        <w:t xml:space="preserve">authorised </w:t>
      </w:r>
      <w:r w:rsidR="00AC0C05">
        <w:t xml:space="preserve">by certification by a </w:t>
      </w:r>
      <w:r>
        <w:t>superintendent registrar, u</w:t>
      </w:r>
      <w:r w:rsidR="00C55F69">
        <w:t xml:space="preserve">nder Part III of the </w:t>
      </w:r>
      <w:r w:rsidR="008C3C25">
        <w:t xml:space="preserve">1949 </w:t>
      </w:r>
      <w:r w:rsidR="00C55F69">
        <w:t xml:space="preserve">Act, specific preliminary formalities </w:t>
      </w:r>
      <w:r w:rsidR="000E05E4">
        <w:t>must</w:t>
      </w:r>
      <w:r w:rsidR="00C55F69">
        <w:t xml:space="preserve"> be met</w:t>
      </w:r>
      <w:r w:rsidR="000E05E4">
        <w:t xml:space="preserve">, </w:t>
      </w:r>
      <w:r w:rsidR="00C55F69">
        <w:t>for example, as to prior notification of the marriage under section 27</w:t>
      </w:r>
      <w:r w:rsidR="001575E3">
        <w:t xml:space="preserve">.  Subject to these legal preliminaries, however, </w:t>
      </w:r>
      <w:r w:rsidR="00B43221">
        <w:t>by sub</w:t>
      </w:r>
      <w:r w:rsidR="00420ED0">
        <w:t xml:space="preserve">-paragraphs </w:t>
      </w:r>
      <w:r w:rsidR="00B43221">
        <w:t>(c), (d) and (e),</w:t>
      </w:r>
      <w:r w:rsidR="00C55F69">
        <w:t xml:space="preserve"> section 26</w:t>
      </w:r>
      <w:r w:rsidR="00420ED0">
        <w:t>(1)</w:t>
      </w:r>
      <w:r w:rsidR="00C55F69">
        <w:t xml:space="preserve"> provides for legal recognition of marriages according to the rites of the Church of England and to the usages of Quakers and Jews.  Amongst other things, that will mean Anglican, Quaker and Jewish weddings will be legally recognised notwithstanding that no</w:t>
      </w:r>
      <w:r w:rsidR="00054EBA">
        <w:t xml:space="preserve"> state official – in the form of a</w:t>
      </w:r>
      <w:r w:rsidR="00C55F69">
        <w:t xml:space="preserve"> registrar</w:t>
      </w:r>
      <w:r w:rsidR="002E388A">
        <w:t xml:space="preserve"> employed by the relevant local authority - </w:t>
      </w:r>
      <w:r w:rsidR="00C55F69">
        <w:t xml:space="preserve">is present at the ceremony. </w:t>
      </w:r>
    </w:p>
    <w:p w14:paraId="4B76FC39" w14:textId="000A8EAF" w:rsidR="00C55F69" w:rsidRDefault="00706925" w:rsidP="000768DC">
      <w:pPr>
        <w:pStyle w:val="ParaLevel1"/>
      </w:pPr>
      <w:r>
        <w:t>Section 26(1) also provides a</w:t>
      </w:r>
      <w:r w:rsidR="00C55F69">
        <w:t xml:space="preserve"> gateway </w:t>
      </w:r>
      <w:r>
        <w:t>for</w:t>
      </w:r>
      <w:r w:rsidR="00C55F69">
        <w:t xml:space="preserve"> </w:t>
      </w:r>
      <w:r w:rsidR="00985950">
        <w:t xml:space="preserve">the </w:t>
      </w:r>
      <w:r w:rsidR="00C55F69">
        <w:t>legal recognition of marriages that adopt the form and ceremony of other religions</w:t>
      </w:r>
      <w:r w:rsidR="005A70ED">
        <w:t xml:space="preserve">; this </w:t>
      </w:r>
      <w:r w:rsidR="00C55F69">
        <w:t>is provided by sub</w:t>
      </w:r>
      <w:r w:rsidR="008B192A">
        <w:t>-paragraph</w:t>
      </w:r>
      <w:r w:rsidR="00C55F69">
        <w:t xml:space="preserve"> 26(1)(a), by means of the registration of places of religious worship</w:t>
      </w:r>
      <w:r w:rsidR="005A70ED">
        <w:t>.  T</w:t>
      </w:r>
      <w:r w:rsidR="00C55F69">
        <w:t xml:space="preserve">hat is made apparent by </w:t>
      </w:r>
      <w:r w:rsidR="00C55F69">
        <w:lastRenderedPageBreak/>
        <w:t xml:space="preserve">section 41, which allows for the registration of buildings for these purposes in the following terms: </w:t>
      </w:r>
    </w:p>
    <w:p w14:paraId="2EB6FAF6" w14:textId="260E56D2" w:rsidR="00C55F69" w:rsidRDefault="00C55F69" w:rsidP="000768DC">
      <w:pPr>
        <w:pStyle w:val="Quote"/>
      </w:pPr>
      <w:r>
        <w:t>“(1)</w:t>
      </w:r>
      <w:r w:rsidR="002C2041">
        <w:t xml:space="preserve"> </w:t>
      </w:r>
      <w:r>
        <w:t>Any proprietor or trustee of a . . . building, which has been certified as required by law as a place of religious worship may apply to the superintendent registrar of the registration district in which the building is situated for the building to be registered for the solemnization of marriages therein.”</w:t>
      </w:r>
    </w:p>
    <w:p w14:paraId="72D40377" w14:textId="65283167" w:rsidR="00CB14FE" w:rsidRDefault="00C55F69" w:rsidP="000768DC">
      <w:pPr>
        <w:pStyle w:val="ParaLevel1"/>
      </w:pPr>
      <w:r>
        <w:t xml:space="preserve">For religious groups other than </w:t>
      </w:r>
      <w:r w:rsidR="008A175C">
        <w:t xml:space="preserve">Anglicans, </w:t>
      </w:r>
      <w:r>
        <w:t>Quakers or Jews,</w:t>
      </w:r>
      <w:r w:rsidR="007635E3">
        <w:t xml:space="preserve"> section 44(</w:t>
      </w:r>
      <w:r w:rsidR="004F001D">
        <w:t xml:space="preserve">2) of the 1949 Act provides that, where </w:t>
      </w:r>
      <w:r>
        <w:t>a certified place of worship has been registered under section 41</w:t>
      </w:r>
      <w:r w:rsidR="00235E01">
        <w:t xml:space="preserve"> (</w:t>
      </w:r>
      <w:r w:rsidR="007817B4">
        <w:t>and once duplicate marriage register books have been supplied by the Regist</w:t>
      </w:r>
      <w:r w:rsidR="00A04819">
        <w:t>ra</w:t>
      </w:r>
      <w:r w:rsidR="007817B4">
        <w:t>r General</w:t>
      </w:r>
      <w:r w:rsidR="00235E01">
        <w:t>, see section 44</w:t>
      </w:r>
      <w:r w:rsidR="006B4DC4">
        <w:t>(4)),</w:t>
      </w:r>
      <w:r w:rsidR="00235E01">
        <w:t xml:space="preserve"> </w:t>
      </w:r>
      <w:r>
        <w:t xml:space="preserve">marriages may be solemnized in that building </w:t>
      </w:r>
      <w:r w:rsidR="0052468B">
        <w:t xml:space="preserve">in the presence of an authorised person and </w:t>
      </w:r>
      <w:r>
        <w:t>without the presence of a registrar</w:t>
      </w:r>
      <w:r w:rsidR="00A02ABD">
        <w:t xml:space="preserve"> (s</w:t>
      </w:r>
      <w:r>
        <w:t>ection 43</w:t>
      </w:r>
      <w:r w:rsidR="00AD68BB">
        <w:t xml:space="preserve"> explains how those responsible for the relevant place of worship might authorise a person for these purposes</w:t>
      </w:r>
      <w:r w:rsidR="00A02ABD">
        <w:t xml:space="preserve">).  Moreover, whilst </w:t>
      </w:r>
      <w:r w:rsidR="006817CB" w:rsidRPr="00792F5A">
        <w:t xml:space="preserve">certain declarations must be included within </w:t>
      </w:r>
      <w:r w:rsidR="003C54E0" w:rsidRPr="00792F5A">
        <w:t>the ceremony</w:t>
      </w:r>
      <w:r w:rsidR="00233074">
        <w:t xml:space="preserve"> (section 44(3)</w:t>
      </w:r>
      <w:r w:rsidR="007C6664">
        <w:t>,</w:t>
      </w:r>
      <w:r w:rsidR="00233074">
        <w:t xml:space="preserve"> (3A))</w:t>
      </w:r>
      <w:r w:rsidR="00711005">
        <w:t>,</w:t>
      </w:r>
      <w:r w:rsidR="00B8138C">
        <w:t xml:space="preserve"> and the doors of the registered building must remain open</w:t>
      </w:r>
      <w:r w:rsidR="00DF0346">
        <w:t xml:space="preserve"> (section 44(2))</w:t>
      </w:r>
      <w:r w:rsidR="00B8138C">
        <w:t>,</w:t>
      </w:r>
      <w:r w:rsidR="00A706C4">
        <w:t xml:space="preserve"> </w:t>
      </w:r>
      <w:r w:rsidR="00097A1A">
        <w:t>by section 44(1) it is otherwis</w:t>
      </w:r>
      <w:r w:rsidR="00C07800" w:rsidRPr="00792F5A">
        <w:t>e</w:t>
      </w:r>
      <w:r w:rsidR="00C21FA2" w:rsidRPr="00792F5A">
        <w:t xml:space="preserve"> allow</w:t>
      </w:r>
      <w:r w:rsidR="00097A1A">
        <w:t>ed</w:t>
      </w:r>
      <w:r w:rsidR="00C21FA2" w:rsidRPr="00792F5A">
        <w:t xml:space="preserve"> that the </w:t>
      </w:r>
      <w:r w:rsidR="002777E8" w:rsidRPr="00792F5A">
        <w:t>form of ceremony adopted may be as the participants see fit, subject</w:t>
      </w:r>
      <w:r w:rsidR="00CB14FE">
        <w:t xml:space="preserve"> only</w:t>
      </w:r>
      <w:r w:rsidR="002777E8" w:rsidRPr="00792F5A">
        <w:t xml:space="preserve"> to </w:t>
      </w:r>
      <w:r w:rsidR="006A26AB" w:rsidRPr="00792F5A">
        <w:t>the consent of those presiding over the place of worship</w:t>
      </w:r>
      <w:r w:rsidR="00747C36" w:rsidRPr="00792F5A">
        <w:t xml:space="preserve">.  </w:t>
      </w:r>
    </w:p>
    <w:p w14:paraId="605ECF9F" w14:textId="2A22FF80" w:rsidR="00C55F69" w:rsidRDefault="00C55F69" w:rsidP="000768DC">
      <w:pPr>
        <w:pStyle w:val="ParaLevel1"/>
      </w:pPr>
      <w:r w:rsidRPr="00792F5A">
        <w:t>For marriages under section 26(1)(b) and (bb)</w:t>
      </w:r>
      <w:r w:rsidR="00B2243E">
        <w:t xml:space="preserve"> – often referred to as ‘civil marriages’ -</w:t>
      </w:r>
      <w:r w:rsidRPr="00792F5A">
        <w:t xml:space="preserve"> separate provision is made.  </w:t>
      </w:r>
      <w:r w:rsidR="000F7A9E">
        <w:t>Specifically</w:t>
      </w:r>
      <w:r>
        <w:t xml:space="preserve">, whether the marriage </w:t>
      </w:r>
      <w:r w:rsidR="000F7A9E">
        <w:t xml:space="preserve">takes </w:t>
      </w:r>
      <w:r>
        <w:t xml:space="preserve">place </w:t>
      </w:r>
      <w:r w:rsidR="002164FC">
        <w:t>in a register</w:t>
      </w:r>
      <w:r>
        <w:t xml:space="preserve"> office (section 26(1)(b))</w:t>
      </w:r>
      <w:r w:rsidR="000F7A9E">
        <w:t>,</w:t>
      </w:r>
      <w:r>
        <w:t xml:space="preserve"> or on approved premises (section 26</w:t>
      </w:r>
      <w:r w:rsidR="00BB69EF">
        <w:t xml:space="preserve"> </w:t>
      </w:r>
      <w:r>
        <w:t xml:space="preserve">(1)(bb)), it is a legal requirement that both a superintendent registrar and a registrar are present.  </w:t>
      </w:r>
    </w:p>
    <w:p w14:paraId="304FEA1E" w14:textId="77777777" w:rsidR="00C55F69" w:rsidRDefault="00C55F69" w:rsidP="000768DC">
      <w:pPr>
        <w:pStyle w:val="ParaLevel1"/>
      </w:pPr>
      <w:r>
        <w:t>Thus, for the purposes of section 26(1)(b), solemnization of marriage in a register office, section 45 provides:</w:t>
      </w:r>
    </w:p>
    <w:p w14:paraId="04D55532" w14:textId="59ABE3B7" w:rsidR="00C55F69" w:rsidRDefault="00C55F69" w:rsidP="000768DC">
      <w:pPr>
        <w:pStyle w:val="Quote"/>
      </w:pPr>
      <w:r>
        <w:t>“(1)</w:t>
      </w:r>
      <w:r w:rsidR="005221B0">
        <w:t xml:space="preserve"> </w:t>
      </w:r>
      <w:r>
        <w:t xml:space="preserve">Where a marriage is intended to be solemnized on the authority of certificates of a superintendent registrar, the persons to be married may state in </w:t>
      </w:r>
      <w:r w:rsidR="008801A6">
        <w:t xml:space="preserve"> </w:t>
      </w:r>
      <w:r>
        <w:t xml:space="preserve">the </w:t>
      </w:r>
      <w:r w:rsidR="008801A6">
        <w:t xml:space="preserve">notices </w:t>
      </w:r>
      <w:r>
        <w:t>of marriage that they wish to be married in the office of the superintendent registrar or one of the superintendent registrars, as the case may be, to whom notice of marriage is given, and where any such notices have been given and the certificates have been issued accordingly, the marriage may be solemnized in the said office, with open doors, in the presence of the superintendent registrar and a registrar of the registration district of that superintendent registrar and in the presence of two witnesses, and the persons to be married shall make the declarations and use the form of words set out in subsection (3)</w:t>
      </w:r>
      <w:r w:rsidR="00F24C41">
        <w:t xml:space="preserve"> or</w:t>
      </w:r>
      <w:r>
        <w:t xml:space="preserve"> (3A) of section 44 in the case of marriages in registered buildings in the presence of a registrar.</w:t>
      </w:r>
    </w:p>
    <w:p w14:paraId="07321FE8" w14:textId="2D95D225" w:rsidR="00C55F69" w:rsidRDefault="00C55F69" w:rsidP="000768DC">
      <w:pPr>
        <w:pStyle w:val="Quote"/>
      </w:pPr>
      <w:r>
        <w:t>(2) No religious service shall be used at any marriage solemnized in the office of a superintendent registrar.</w:t>
      </w:r>
      <w:r w:rsidR="00443B36">
        <w:t>”</w:t>
      </w:r>
    </w:p>
    <w:p w14:paraId="28FEB85C" w14:textId="04741D0E" w:rsidR="00C55F69" w:rsidRDefault="00C55F69" w:rsidP="000768DC">
      <w:pPr>
        <w:pStyle w:val="ParaLevel1"/>
      </w:pPr>
      <w:r>
        <w:t>Similarly, for the purposes of section 26(1)(bb), solemnization of marriage on approved premises, section 46B provides:</w:t>
      </w:r>
    </w:p>
    <w:p w14:paraId="4EF37A49" w14:textId="777FFF5A" w:rsidR="00C55F69" w:rsidRDefault="00C55F69" w:rsidP="000768DC">
      <w:pPr>
        <w:pStyle w:val="Quote"/>
      </w:pPr>
      <w:r>
        <w:lastRenderedPageBreak/>
        <w:t>“(1) Any marriage on approved premises in pursuance of section 26(1)(bb) of this Act shall be solemnized in the presence of—”</w:t>
      </w:r>
    </w:p>
    <w:p w14:paraId="6DA72CB1" w14:textId="558FCE8F" w:rsidR="00C55F69" w:rsidRDefault="00C55F69" w:rsidP="000768DC">
      <w:pPr>
        <w:pStyle w:val="Quote"/>
      </w:pPr>
      <w:r>
        <w:t>(a)</w:t>
      </w:r>
      <w:r w:rsidR="00C56214">
        <w:t xml:space="preserve"> </w:t>
      </w:r>
      <w:r>
        <w:t>two witnesses, and</w:t>
      </w:r>
    </w:p>
    <w:p w14:paraId="416A6AE7" w14:textId="08F4200A" w:rsidR="00C55F69" w:rsidRDefault="00C55F69" w:rsidP="000768DC">
      <w:pPr>
        <w:pStyle w:val="Quote"/>
      </w:pPr>
      <w:r>
        <w:t>(b)</w:t>
      </w:r>
      <w:r w:rsidR="00C56214">
        <w:t xml:space="preserve"> </w:t>
      </w:r>
      <w:r>
        <w:t>the superintendent registrar and a registrar of the registration district in which the premises are situated.</w:t>
      </w:r>
    </w:p>
    <w:p w14:paraId="2A93E946" w14:textId="77777777" w:rsidR="00C55F69" w:rsidRDefault="00C55F69" w:rsidP="000768DC">
      <w:pPr>
        <w:pStyle w:val="Quote"/>
      </w:pPr>
      <w:r>
        <w:t>…</w:t>
      </w:r>
    </w:p>
    <w:p w14:paraId="0768F59B" w14:textId="77777777" w:rsidR="00C55F69" w:rsidRDefault="00C55F69" w:rsidP="000768DC">
      <w:pPr>
        <w:pStyle w:val="Quote"/>
      </w:pPr>
      <w:r>
        <w:t>(3) Each of the persons contracting such a marriage shall make the declaration and use the form of words set out in section 44(3) or (3A) of this Act in the case of marriages in registered buildings.</w:t>
      </w:r>
    </w:p>
    <w:p w14:paraId="60A2E03F" w14:textId="4EF93548" w:rsidR="00C55F69" w:rsidRDefault="00C55F69" w:rsidP="000768DC">
      <w:pPr>
        <w:pStyle w:val="Quote"/>
      </w:pPr>
      <w:r>
        <w:t>(4) No religious service shall be used at a marriage on approved premises in pursuance of section 26(1)(bb) of this Act.</w:t>
      </w:r>
    </w:p>
    <w:p w14:paraId="6886C642" w14:textId="1266FA9E" w:rsidR="00FE69DD" w:rsidRPr="001A44D3" w:rsidRDefault="00D93F17" w:rsidP="000768DC">
      <w:pPr>
        <w:pStyle w:val="ParaLevel1"/>
        <w:rPr>
          <w:szCs w:val="24"/>
        </w:rPr>
      </w:pPr>
      <w:r w:rsidRPr="001A44D3">
        <w:rPr>
          <w:szCs w:val="24"/>
        </w:rPr>
        <w:t xml:space="preserve">The Marriages and Civil Partnerships (Approved Premises) Regulations </w:t>
      </w:r>
      <w:r w:rsidR="00E336FF" w:rsidRPr="001A44D3">
        <w:rPr>
          <w:szCs w:val="24"/>
        </w:rPr>
        <w:t xml:space="preserve">2005 </w:t>
      </w:r>
      <w:r w:rsidR="00690E35" w:rsidRPr="001A44D3">
        <w:rPr>
          <w:szCs w:val="24"/>
        </w:rPr>
        <w:t>(“the 2005 Regulations”)</w:t>
      </w:r>
      <w:r w:rsidR="00AE38A1">
        <w:rPr>
          <w:szCs w:val="24"/>
        </w:rPr>
        <w:t>,</w:t>
      </w:r>
      <w:r w:rsidR="00690E35" w:rsidRPr="001A44D3">
        <w:rPr>
          <w:szCs w:val="24"/>
        </w:rPr>
        <w:t xml:space="preserve"> </w:t>
      </w:r>
      <w:r w:rsidR="00E336FF" w:rsidRPr="001A44D3">
        <w:rPr>
          <w:szCs w:val="24"/>
        </w:rPr>
        <w:t>made pursuant to section 46A of the 1949 Act</w:t>
      </w:r>
      <w:r w:rsidR="00AE38A1">
        <w:rPr>
          <w:szCs w:val="24"/>
        </w:rPr>
        <w:t>,</w:t>
      </w:r>
      <w:r w:rsidR="00E336FF" w:rsidRPr="001A44D3">
        <w:rPr>
          <w:szCs w:val="24"/>
        </w:rPr>
        <w:t xml:space="preserve"> lay down the requirements </w:t>
      </w:r>
      <w:r w:rsidR="009E59E4" w:rsidRPr="001A44D3">
        <w:rPr>
          <w:szCs w:val="24"/>
        </w:rPr>
        <w:t>for</w:t>
      </w:r>
      <w:r w:rsidR="00D61E7C">
        <w:rPr>
          <w:szCs w:val="24"/>
        </w:rPr>
        <w:t xml:space="preserve"> local authority </w:t>
      </w:r>
      <w:r w:rsidR="009E59E4" w:rsidRPr="001A44D3">
        <w:rPr>
          <w:szCs w:val="24"/>
        </w:rPr>
        <w:t xml:space="preserve">approval of premises for the solemnization of marriages in pursuance of section </w:t>
      </w:r>
      <w:r w:rsidR="00A976AC" w:rsidRPr="001A44D3">
        <w:rPr>
          <w:szCs w:val="24"/>
        </w:rPr>
        <w:t xml:space="preserve">26(1)(bb).  It is apparent that a very wide variety of premises have been approved (examples </w:t>
      </w:r>
      <w:r w:rsidR="00CD1681">
        <w:rPr>
          <w:szCs w:val="24"/>
        </w:rPr>
        <w:t xml:space="preserve">given in Mr </w:t>
      </w:r>
      <w:proofErr w:type="spellStart"/>
      <w:r w:rsidR="00CD1681">
        <w:rPr>
          <w:szCs w:val="24"/>
        </w:rPr>
        <w:t>Barcoe’s</w:t>
      </w:r>
      <w:proofErr w:type="spellEnd"/>
      <w:r w:rsidR="00CD1681">
        <w:rPr>
          <w:szCs w:val="24"/>
        </w:rPr>
        <w:t xml:space="preserve"> statement in these proceedings </w:t>
      </w:r>
      <w:r w:rsidR="00A976AC" w:rsidRPr="001A44D3">
        <w:rPr>
          <w:szCs w:val="24"/>
        </w:rPr>
        <w:t>include</w:t>
      </w:r>
      <w:r w:rsidR="0079480C" w:rsidRPr="001A44D3">
        <w:rPr>
          <w:szCs w:val="24"/>
        </w:rPr>
        <w:t xml:space="preserve"> an aquarium, a castle, a library and a casino)</w:t>
      </w:r>
      <w:r w:rsidR="00E76451" w:rsidRPr="001A44D3">
        <w:rPr>
          <w:szCs w:val="24"/>
        </w:rPr>
        <w:t xml:space="preserve">, but they </w:t>
      </w:r>
      <w:r w:rsidR="0087185F" w:rsidRPr="001A44D3">
        <w:rPr>
          <w:szCs w:val="24"/>
        </w:rPr>
        <w:t xml:space="preserve">must fulfil the requirements </w:t>
      </w:r>
      <w:r w:rsidR="00690E35" w:rsidRPr="001A44D3">
        <w:rPr>
          <w:szCs w:val="24"/>
        </w:rPr>
        <w:t xml:space="preserve">set out in schedule 1 of the 2005 Regulations and any </w:t>
      </w:r>
      <w:r w:rsidR="006705CF" w:rsidRPr="001A44D3">
        <w:rPr>
          <w:szCs w:val="24"/>
        </w:rPr>
        <w:t>reasonable requirements set by the local authority</w:t>
      </w:r>
      <w:r w:rsidR="001A461A" w:rsidRPr="001A44D3">
        <w:rPr>
          <w:szCs w:val="24"/>
        </w:rPr>
        <w:t xml:space="preserve">.  Most relevantly, they </w:t>
      </w:r>
      <w:r w:rsidR="006705CF" w:rsidRPr="001A44D3">
        <w:rPr>
          <w:szCs w:val="24"/>
        </w:rPr>
        <w:t>must not (without specific approval) be religious premises</w:t>
      </w:r>
      <w:r w:rsidR="001A461A" w:rsidRPr="001A44D3">
        <w:rPr>
          <w:szCs w:val="24"/>
        </w:rPr>
        <w:t xml:space="preserve"> </w:t>
      </w:r>
      <w:r w:rsidR="007F6084">
        <w:rPr>
          <w:szCs w:val="24"/>
        </w:rPr>
        <w:t xml:space="preserve">(schedule 1, paragraph 4(a)) </w:t>
      </w:r>
      <w:r w:rsidR="001A461A" w:rsidRPr="001A44D3">
        <w:rPr>
          <w:szCs w:val="24"/>
        </w:rPr>
        <w:t>and</w:t>
      </w:r>
      <w:r w:rsidR="00226846">
        <w:rPr>
          <w:szCs w:val="24"/>
        </w:rPr>
        <w:t>,</w:t>
      </w:r>
      <w:r w:rsidR="001A461A" w:rsidRPr="001A44D3">
        <w:rPr>
          <w:szCs w:val="24"/>
        </w:rPr>
        <w:t xml:space="preserve"> whilst they ca</w:t>
      </w:r>
      <w:r w:rsidR="001F721F" w:rsidRPr="001A44D3">
        <w:rPr>
          <w:szCs w:val="24"/>
        </w:rPr>
        <w:t>n include outdoor sites</w:t>
      </w:r>
      <w:r w:rsidR="001A461A" w:rsidRPr="001A44D3">
        <w:rPr>
          <w:szCs w:val="24"/>
        </w:rPr>
        <w:t xml:space="preserve">, </w:t>
      </w:r>
      <w:r w:rsidR="001A44D3" w:rsidRPr="001A44D3">
        <w:rPr>
          <w:szCs w:val="24"/>
        </w:rPr>
        <w:t>the solemnization of the marriage must take place beneath a “permanently immovable structure</w:t>
      </w:r>
      <w:r w:rsidR="001A44D3">
        <w:rPr>
          <w:szCs w:val="24"/>
        </w:rPr>
        <w:t>” (see regulation 2(1)).</w:t>
      </w:r>
      <w:r w:rsidR="008801A6">
        <w:rPr>
          <w:szCs w:val="24"/>
        </w:rPr>
        <w:t xml:space="preserve"> </w:t>
      </w:r>
    </w:p>
    <w:p w14:paraId="12612ACF" w14:textId="2405FFC7" w:rsidR="001506AB" w:rsidRDefault="00F63134" w:rsidP="000768DC">
      <w:pPr>
        <w:pStyle w:val="ParaLevel1"/>
        <w:rPr>
          <w:szCs w:val="24"/>
        </w:rPr>
      </w:pPr>
      <w:r>
        <w:rPr>
          <w:szCs w:val="24"/>
        </w:rPr>
        <w:t xml:space="preserve">The requirements for the registration of marriages </w:t>
      </w:r>
      <w:r w:rsidR="00753C28">
        <w:rPr>
          <w:szCs w:val="24"/>
        </w:rPr>
        <w:t>(addressed at Part IV of the</w:t>
      </w:r>
      <w:r w:rsidR="003F64EC">
        <w:rPr>
          <w:szCs w:val="24"/>
        </w:rPr>
        <w:t xml:space="preserve"> 1949</w:t>
      </w:r>
      <w:r w:rsidR="00753C28">
        <w:rPr>
          <w:szCs w:val="24"/>
        </w:rPr>
        <w:t xml:space="preserve"> Act) essentially mirror th</w:t>
      </w:r>
      <w:r w:rsidR="00C74636">
        <w:rPr>
          <w:szCs w:val="24"/>
        </w:rPr>
        <w:t>e provision made for solemnization</w:t>
      </w:r>
      <w:r w:rsidR="001506AB">
        <w:rPr>
          <w:szCs w:val="24"/>
        </w:rPr>
        <w:t xml:space="preserve"> (see </w:t>
      </w:r>
      <w:r w:rsidR="00C55F69">
        <w:rPr>
          <w:szCs w:val="24"/>
        </w:rPr>
        <w:t>section 53</w:t>
      </w:r>
      <w:r w:rsidR="001506AB">
        <w:rPr>
          <w:szCs w:val="24"/>
        </w:rPr>
        <w:t xml:space="preserve">). </w:t>
      </w:r>
    </w:p>
    <w:p w14:paraId="75CB2A87" w14:textId="7199422F" w:rsidR="00C55F69" w:rsidRPr="00146F9A" w:rsidRDefault="005505D0" w:rsidP="000768DC">
      <w:pPr>
        <w:pStyle w:val="ParaLevel1"/>
        <w:rPr>
          <w:szCs w:val="24"/>
        </w:rPr>
      </w:pPr>
      <w:r>
        <w:rPr>
          <w:szCs w:val="24"/>
        </w:rPr>
        <w:t xml:space="preserve">In </w:t>
      </w:r>
      <w:r w:rsidRPr="00892709">
        <w:rPr>
          <w:i/>
          <w:iCs/>
        </w:rPr>
        <w:t>Getting Married: A Scoping Paper</w:t>
      </w:r>
      <w:r>
        <w:rPr>
          <w:i/>
          <w:iCs/>
        </w:rPr>
        <w:t xml:space="preserve"> </w:t>
      </w:r>
      <w:r w:rsidR="006C0796">
        <w:t>(published by the Law Commission on 17 December 2015</w:t>
      </w:r>
      <w:r w:rsidR="008B7C4B">
        <w:t xml:space="preserve">; </w:t>
      </w:r>
      <w:r>
        <w:t xml:space="preserve">the </w:t>
      </w:r>
      <w:r w:rsidR="0025213C">
        <w:t>“</w:t>
      </w:r>
      <w:r>
        <w:t>Scoping Paper”)</w:t>
      </w:r>
      <w:r w:rsidR="008B7C4B">
        <w:t xml:space="preserve">, the </w:t>
      </w:r>
      <w:r w:rsidR="00C55F69" w:rsidRPr="001279A7">
        <w:rPr>
          <w:szCs w:val="24"/>
        </w:rPr>
        <w:t xml:space="preserve">Law Commission </w:t>
      </w:r>
      <w:r w:rsidR="00C55F69">
        <w:rPr>
          <w:szCs w:val="24"/>
        </w:rPr>
        <w:t>summarise</w:t>
      </w:r>
      <w:r w:rsidR="008B7C4B">
        <w:rPr>
          <w:szCs w:val="24"/>
        </w:rPr>
        <w:t>d</w:t>
      </w:r>
      <w:r w:rsidR="00C55F69">
        <w:rPr>
          <w:szCs w:val="24"/>
        </w:rPr>
        <w:t xml:space="preserve"> the different legal routes to marriage</w:t>
      </w:r>
      <w:r w:rsidR="007877E6">
        <w:rPr>
          <w:szCs w:val="24"/>
        </w:rPr>
        <w:t xml:space="preserve"> under the 1949 Act</w:t>
      </w:r>
      <w:r w:rsidR="00C55F69">
        <w:rPr>
          <w:szCs w:val="24"/>
        </w:rPr>
        <w:t xml:space="preserve">, as follows (with references to the relevant statutory provisions </w:t>
      </w:r>
      <w:r w:rsidR="00331D5E">
        <w:rPr>
          <w:szCs w:val="24"/>
        </w:rPr>
        <w:t>added</w:t>
      </w:r>
      <w:r w:rsidR="008B7C4B">
        <w:rPr>
          <w:szCs w:val="24"/>
        </w:rPr>
        <w:t xml:space="preserve"> in square brackets</w:t>
      </w:r>
      <w:r w:rsidR="00C55F69">
        <w:rPr>
          <w:szCs w:val="24"/>
        </w:rPr>
        <w:t>):</w:t>
      </w:r>
    </w:p>
    <w:p w14:paraId="0E2B84BE" w14:textId="77777777" w:rsidR="00C55F69" w:rsidRDefault="00C55F69" w:rsidP="000768DC">
      <w:pPr>
        <w:pStyle w:val="Quote"/>
        <w:rPr>
          <w:szCs w:val="24"/>
        </w:rPr>
      </w:pPr>
      <w:r>
        <w:rPr>
          <w:szCs w:val="24"/>
        </w:rPr>
        <w:t>“</w:t>
      </w:r>
      <w:r w:rsidRPr="00146F9A">
        <w:rPr>
          <w:szCs w:val="24"/>
        </w:rPr>
        <w:t>(1)</w:t>
      </w:r>
      <w:r>
        <w:rPr>
          <w:szCs w:val="24"/>
        </w:rPr>
        <w:t xml:space="preserve"> </w:t>
      </w:r>
      <w:r w:rsidRPr="00146F9A">
        <w:rPr>
          <w:szCs w:val="24"/>
        </w:rPr>
        <w:t>A religious route into marriage where Anglican preliminaries are followed</w:t>
      </w:r>
      <w:r>
        <w:rPr>
          <w:szCs w:val="24"/>
        </w:rPr>
        <w:t xml:space="preserve"> </w:t>
      </w:r>
      <w:r w:rsidRPr="00146F9A">
        <w:rPr>
          <w:szCs w:val="24"/>
        </w:rPr>
        <w:t>by an Anglican ceremony</w:t>
      </w:r>
      <w:r>
        <w:rPr>
          <w:szCs w:val="24"/>
        </w:rPr>
        <w:t xml:space="preserve"> [Part II of the Act]</w:t>
      </w:r>
      <w:r w:rsidRPr="00146F9A">
        <w:rPr>
          <w:szCs w:val="24"/>
        </w:rPr>
        <w:t>.</w:t>
      </w:r>
    </w:p>
    <w:p w14:paraId="36901EB4" w14:textId="77777777" w:rsidR="00C55F69" w:rsidRDefault="00C55F69" w:rsidP="000768DC">
      <w:pPr>
        <w:pStyle w:val="Quote"/>
        <w:rPr>
          <w:szCs w:val="24"/>
        </w:rPr>
      </w:pPr>
      <w:r w:rsidRPr="00146F9A">
        <w:rPr>
          <w:szCs w:val="24"/>
        </w:rPr>
        <w:t>(2)</w:t>
      </w:r>
      <w:r>
        <w:rPr>
          <w:szCs w:val="24"/>
        </w:rPr>
        <w:t xml:space="preserve"> </w:t>
      </w:r>
      <w:r w:rsidRPr="00146F9A">
        <w:rPr>
          <w:szCs w:val="24"/>
        </w:rPr>
        <w:t>A civil route into marriage where civil preliminaries are followed by a civil</w:t>
      </w:r>
      <w:r>
        <w:rPr>
          <w:szCs w:val="24"/>
        </w:rPr>
        <w:t xml:space="preserve"> </w:t>
      </w:r>
      <w:r w:rsidRPr="00146F9A">
        <w:rPr>
          <w:szCs w:val="24"/>
        </w:rPr>
        <w:t>ceremony either in a register office or on approved premises.</w:t>
      </w:r>
      <w:r>
        <w:rPr>
          <w:szCs w:val="24"/>
        </w:rPr>
        <w:t xml:space="preserve"> [Part III, section 26(1)(b) and (bb)]</w:t>
      </w:r>
    </w:p>
    <w:p w14:paraId="51F6A346" w14:textId="6FF516C8" w:rsidR="00C55F69" w:rsidRDefault="00C55F69" w:rsidP="000768DC">
      <w:pPr>
        <w:pStyle w:val="Quote"/>
        <w:rPr>
          <w:szCs w:val="24"/>
        </w:rPr>
      </w:pPr>
      <w:r w:rsidRPr="00146F9A">
        <w:rPr>
          <w:szCs w:val="24"/>
        </w:rPr>
        <w:t>(3)</w:t>
      </w:r>
      <w:r>
        <w:rPr>
          <w:szCs w:val="24"/>
        </w:rPr>
        <w:t xml:space="preserve"> </w:t>
      </w:r>
      <w:r w:rsidRPr="00146F9A">
        <w:rPr>
          <w:szCs w:val="24"/>
        </w:rPr>
        <w:t>A mixed route into marriage where civil preliminaries precede one of four</w:t>
      </w:r>
      <w:r>
        <w:rPr>
          <w:szCs w:val="24"/>
        </w:rPr>
        <w:t xml:space="preserve"> </w:t>
      </w:r>
      <w:r w:rsidRPr="00146F9A">
        <w:rPr>
          <w:szCs w:val="24"/>
        </w:rPr>
        <w:t>types of religious ceremony</w:t>
      </w:r>
      <w:r>
        <w:rPr>
          <w:szCs w:val="24"/>
        </w:rPr>
        <w:t xml:space="preserve"> [also Part III, section 26(1)(a), (c), (d) and (e)]</w:t>
      </w:r>
      <w:r w:rsidRPr="00146F9A">
        <w:rPr>
          <w:szCs w:val="24"/>
        </w:rPr>
        <w:t>. The ceremony can be:</w:t>
      </w:r>
      <w:r>
        <w:rPr>
          <w:szCs w:val="24"/>
        </w:rPr>
        <w:t xml:space="preserve"> </w:t>
      </w:r>
      <w:r w:rsidRPr="00146F9A">
        <w:rPr>
          <w:szCs w:val="24"/>
        </w:rPr>
        <w:t>(</w:t>
      </w:r>
      <w:r w:rsidR="00B370A0">
        <w:rPr>
          <w:szCs w:val="24"/>
        </w:rPr>
        <w:t>a</w:t>
      </w:r>
      <w:r w:rsidRPr="00146F9A">
        <w:rPr>
          <w:szCs w:val="24"/>
        </w:rPr>
        <w:t>)</w:t>
      </w:r>
      <w:r>
        <w:rPr>
          <w:szCs w:val="24"/>
        </w:rPr>
        <w:t xml:space="preserve"> </w:t>
      </w:r>
      <w:r w:rsidRPr="00146F9A">
        <w:rPr>
          <w:szCs w:val="24"/>
        </w:rPr>
        <w:t>“according to the usages of the Jews”</w:t>
      </w:r>
      <w:r w:rsidR="001A2885">
        <w:rPr>
          <w:szCs w:val="24"/>
        </w:rPr>
        <w:t xml:space="preserve"> </w:t>
      </w:r>
      <w:r w:rsidR="009735F0">
        <w:rPr>
          <w:szCs w:val="24"/>
        </w:rPr>
        <w:t>[</w:t>
      </w:r>
      <w:r w:rsidR="001A2885">
        <w:rPr>
          <w:szCs w:val="24"/>
        </w:rPr>
        <w:t>sub-para</w:t>
      </w:r>
      <w:r w:rsidR="009735F0">
        <w:rPr>
          <w:szCs w:val="24"/>
        </w:rPr>
        <w:t>g</w:t>
      </w:r>
      <w:r w:rsidR="001A2885">
        <w:rPr>
          <w:szCs w:val="24"/>
        </w:rPr>
        <w:t xml:space="preserve">raph </w:t>
      </w:r>
      <w:r w:rsidR="009735F0">
        <w:rPr>
          <w:szCs w:val="24"/>
        </w:rPr>
        <w:t>(d)]</w:t>
      </w:r>
      <w:r w:rsidRPr="00146F9A">
        <w:rPr>
          <w:szCs w:val="24"/>
        </w:rPr>
        <w:t>;</w:t>
      </w:r>
      <w:r>
        <w:rPr>
          <w:szCs w:val="24"/>
        </w:rPr>
        <w:t xml:space="preserve"> </w:t>
      </w:r>
      <w:r w:rsidRPr="00146F9A">
        <w:rPr>
          <w:szCs w:val="24"/>
        </w:rPr>
        <w:t>(b)</w:t>
      </w:r>
      <w:r>
        <w:rPr>
          <w:szCs w:val="24"/>
        </w:rPr>
        <w:t xml:space="preserve"> </w:t>
      </w:r>
      <w:r w:rsidRPr="00146F9A">
        <w:rPr>
          <w:szCs w:val="24"/>
        </w:rPr>
        <w:t>“according to the usages of the Society of Friends” (Quakers)</w:t>
      </w:r>
      <w:r w:rsidR="009735F0">
        <w:rPr>
          <w:szCs w:val="24"/>
        </w:rPr>
        <w:t xml:space="preserve"> </w:t>
      </w:r>
      <w:r w:rsidR="00B370A0">
        <w:rPr>
          <w:szCs w:val="24"/>
        </w:rPr>
        <w:lastRenderedPageBreak/>
        <w:t>[</w:t>
      </w:r>
      <w:r w:rsidR="009735F0">
        <w:rPr>
          <w:szCs w:val="24"/>
        </w:rPr>
        <w:t>sub</w:t>
      </w:r>
      <w:r w:rsidR="00B370A0">
        <w:rPr>
          <w:szCs w:val="24"/>
        </w:rPr>
        <w:t>-paragraph (c)]</w:t>
      </w:r>
      <w:r w:rsidRPr="00146F9A">
        <w:rPr>
          <w:szCs w:val="24"/>
        </w:rPr>
        <w:t xml:space="preserve">; </w:t>
      </w:r>
      <w:r w:rsidR="001546E6">
        <w:rPr>
          <w:szCs w:val="24"/>
        </w:rPr>
        <w:t xml:space="preserve">or </w:t>
      </w:r>
      <w:r w:rsidRPr="00146F9A">
        <w:rPr>
          <w:szCs w:val="24"/>
        </w:rPr>
        <w:t>(c)</w:t>
      </w:r>
      <w:r>
        <w:rPr>
          <w:szCs w:val="24"/>
        </w:rPr>
        <w:t xml:space="preserve"> </w:t>
      </w:r>
      <w:r w:rsidRPr="00146F9A">
        <w:rPr>
          <w:szCs w:val="24"/>
        </w:rPr>
        <w:t>“such form and ceremony” as the parties wish, in a place of</w:t>
      </w:r>
      <w:r>
        <w:rPr>
          <w:szCs w:val="24"/>
        </w:rPr>
        <w:t xml:space="preserve"> </w:t>
      </w:r>
      <w:r w:rsidRPr="00146F9A">
        <w:rPr>
          <w:szCs w:val="24"/>
        </w:rPr>
        <w:t>religious worship registered for the solemnization of marriage</w:t>
      </w:r>
      <w:r w:rsidR="001546E6">
        <w:rPr>
          <w:szCs w:val="24"/>
        </w:rPr>
        <w:t xml:space="preserve"> [sub-paragraph (a)]</w:t>
      </w:r>
      <w:r w:rsidRPr="00146F9A">
        <w:rPr>
          <w:szCs w:val="24"/>
        </w:rPr>
        <w:t>; or (d)</w:t>
      </w:r>
      <w:r>
        <w:rPr>
          <w:szCs w:val="24"/>
        </w:rPr>
        <w:t xml:space="preserve"> </w:t>
      </w:r>
      <w:r w:rsidRPr="00146F9A">
        <w:rPr>
          <w:szCs w:val="24"/>
        </w:rPr>
        <w:t>“according to the rites of the Church of England”</w:t>
      </w:r>
      <w:r w:rsidR="001546E6">
        <w:rPr>
          <w:szCs w:val="24"/>
        </w:rPr>
        <w:t xml:space="preserve"> [sub-paragraph (e)]</w:t>
      </w:r>
      <w:r>
        <w:rPr>
          <w:szCs w:val="24"/>
        </w:rPr>
        <w:t>.”</w:t>
      </w:r>
    </w:p>
    <w:p w14:paraId="034A3BC4" w14:textId="6A7B6554" w:rsidR="00030FC5" w:rsidRDefault="00C55F69" w:rsidP="000768DC">
      <w:pPr>
        <w:pStyle w:val="ParaLevel1"/>
      </w:pPr>
      <w:r w:rsidRPr="001172BF">
        <w:t xml:space="preserve">This helpful summation gets to the heart of the Claimants’ </w:t>
      </w:r>
      <w:r w:rsidR="007877E6">
        <w:t>claim in these proceedings</w:t>
      </w:r>
      <w:r w:rsidRPr="001172BF">
        <w:t xml:space="preserve">. Setting to one side </w:t>
      </w:r>
      <w:r w:rsidR="00AD40CA">
        <w:t>the different provisions made for A</w:t>
      </w:r>
      <w:r w:rsidRPr="001172BF">
        <w:t>nglicans and other religious groups (</w:t>
      </w:r>
      <w:r w:rsidR="00AD40CA">
        <w:t>not the subject of challenge before me</w:t>
      </w:r>
      <w:r w:rsidRPr="001172BF">
        <w:t>)</w:t>
      </w:r>
      <w:r w:rsidR="00AD40CA">
        <w:t>,</w:t>
      </w:r>
      <w:r w:rsidRPr="001172BF">
        <w:t xml:space="preserve"> </w:t>
      </w:r>
      <w:r w:rsidR="00974AEA">
        <w:t xml:space="preserve">they object that </w:t>
      </w:r>
      <w:r w:rsidRPr="001172BF">
        <w:t xml:space="preserve">the </w:t>
      </w:r>
      <w:r w:rsidR="00974AEA">
        <w:t xml:space="preserve">law </w:t>
      </w:r>
      <w:r w:rsidRPr="001172BF">
        <w:t xml:space="preserve">offers only </w:t>
      </w:r>
      <w:r w:rsidR="00E53696">
        <w:t xml:space="preserve">one </w:t>
      </w:r>
      <w:r w:rsidRPr="001172BF">
        <w:t xml:space="preserve">route </w:t>
      </w:r>
      <w:r w:rsidR="00C765C5">
        <w:t xml:space="preserve">to a legally recognised marriage to humanists </w:t>
      </w:r>
      <w:r w:rsidRPr="001172BF">
        <w:t>– the civil route</w:t>
      </w:r>
      <w:r w:rsidR="0065317F">
        <w:t xml:space="preserve"> at (</w:t>
      </w:r>
      <w:r w:rsidR="004A5B70">
        <w:t>2</w:t>
      </w:r>
      <w:r w:rsidR="0065317F">
        <w:t>) above</w:t>
      </w:r>
      <w:r w:rsidR="00B50A6E">
        <w:t>.  F</w:t>
      </w:r>
      <w:r w:rsidR="00407643">
        <w:t xml:space="preserve">or </w:t>
      </w:r>
      <w:r w:rsidR="00B50A6E">
        <w:t xml:space="preserve">religious groups, however, </w:t>
      </w:r>
      <w:r w:rsidRPr="001172BF">
        <w:t>the hybrid route</w:t>
      </w:r>
      <w:r w:rsidR="00E356C4">
        <w:t xml:space="preserve"> (route (</w:t>
      </w:r>
      <w:r w:rsidR="004A5B70">
        <w:t>3</w:t>
      </w:r>
      <w:r w:rsidR="00E356C4">
        <w:t xml:space="preserve">)) is also available and offers a means by which </w:t>
      </w:r>
      <w:r w:rsidR="0042507C">
        <w:t xml:space="preserve">those who wish to manifest their religious beliefs through the ceremony of marriage can do so in a way that is </w:t>
      </w:r>
      <w:r w:rsidR="00114830">
        <w:t xml:space="preserve">legally recognised by the state. The failure to extend this option to humanists </w:t>
      </w:r>
      <w:r w:rsidRPr="001172BF">
        <w:t xml:space="preserve">is </w:t>
      </w:r>
      <w:r w:rsidR="00030FC5">
        <w:t xml:space="preserve">central to the complaint made in this case. </w:t>
      </w:r>
    </w:p>
    <w:p w14:paraId="502AC21F" w14:textId="6FB4FDFF" w:rsidR="00DC59C8" w:rsidRPr="000E4EBD" w:rsidRDefault="00DC59C8" w:rsidP="000768DC">
      <w:pPr>
        <w:pStyle w:val="ParaLevel1"/>
        <w:numPr>
          <w:ilvl w:val="0"/>
          <w:numId w:val="0"/>
        </w:numPr>
        <w:rPr>
          <w:b/>
          <w:bCs/>
        </w:rPr>
      </w:pPr>
      <w:bookmarkStart w:id="3" w:name="humanism"/>
      <w:r w:rsidRPr="000E4EBD">
        <w:rPr>
          <w:b/>
          <w:bCs/>
        </w:rPr>
        <w:t>Humanism</w:t>
      </w:r>
    </w:p>
    <w:bookmarkEnd w:id="3"/>
    <w:p w14:paraId="4A738480" w14:textId="40D25D91" w:rsidR="001D06F7" w:rsidRDefault="0059770B" w:rsidP="000768DC">
      <w:pPr>
        <w:pStyle w:val="ParaLevel1"/>
      </w:pPr>
      <w:r>
        <w:t xml:space="preserve">The Claimants </w:t>
      </w:r>
      <w:r w:rsidR="00A0596A">
        <w:t xml:space="preserve">all identify as </w:t>
      </w:r>
      <w:r w:rsidR="00030FC5">
        <w:t>h</w:t>
      </w:r>
      <w:r w:rsidR="00A0596A">
        <w:t>umanists.  They are supported in their claim by Humanists UK</w:t>
      </w:r>
      <w:r w:rsidR="00454ED4">
        <w:t>, a registered charity</w:t>
      </w:r>
      <w:r w:rsidR="008A5416">
        <w:t>,</w:t>
      </w:r>
      <w:r w:rsidR="00454ED4">
        <w:t xml:space="preserve"> </w:t>
      </w:r>
      <w:r w:rsidR="003947C5">
        <w:t>founded in 1896 as the Union of Ethical Societies</w:t>
      </w:r>
      <w:r w:rsidR="008A5416">
        <w:t>,</w:t>
      </w:r>
      <w:r w:rsidR="00A52BC0">
        <w:t xml:space="preserve"> incorporated in 1928 as the Ethical Union</w:t>
      </w:r>
      <w:r w:rsidR="008A5416">
        <w:t>, and changing its name in 1967 to t</w:t>
      </w:r>
      <w:r w:rsidR="00A91031">
        <w:t>he British Humanist Association</w:t>
      </w:r>
      <w:r w:rsidR="008A5416">
        <w:t xml:space="preserve"> (which remains its registered name</w:t>
      </w:r>
      <w:r w:rsidR="00A91031">
        <w:t>)</w:t>
      </w:r>
      <w:r w:rsidR="008A5416">
        <w:t>.</w:t>
      </w:r>
      <w:r w:rsidR="00A52BC0">
        <w:t xml:space="preserve"> </w:t>
      </w:r>
      <w:r w:rsidR="00AA7053">
        <w:t xml:space="preserve"> The charitable activities of Humanists UK are </w:t>
      </w:r>
      <w:r w:rsidR="00192D6C">
        <w:t>stated as being to promote humanism and to support and represent people who seek to live good lives without religious or superstitious beliefs</w:t>
      </w:r>
      <w:r w:rsidR="00B07A83">
        <w:t>; they provi</w:t>
      </w:r>
      <w:r w:rsidR="00454ED4">
        <w:t>de educational resources on humanism and humanist funerals</w:t>
      </w:r>
      <w:r w:rsidR="00C122E6">
        <w:t>, marriages</w:t>
      </w:r>
      <w:r w:rsidR="00454ED4">
        <w:t xml:space="preserve"> and other ceremonies</w:t>
      </w:r>
      <w:r w:rsidR="000D61D4">
        <w:t>,</w:t>
      </w:r>
      <w:r w:rsidR="00454ED4">
        <w:t xml:space="preserve"> and they campaign against discrimination on grounds of belief</w:t>
      </w:r>
      <w:r w:rsidR="00C10624">
        <w:t>.</w:t>
      </w:r>
      <w:r w:rsidR="000837BA">
        <w:t xml:space="preserve">  </w:t>
      </w:r>
    </w:p>
    <w:p w14:paraId="230D6B47" w14:textId="04669F6B" w:rsidR="003755A5" w:rsidRDefault="005563E8" w:rsidP="000768DC">
      <w:pPr>
        <w:pStyle w:val="ParaLevel1"/>
      </w:pPr>
      <w:r>
        <w:t xml:space="preserve">Mr </w:t>
      </w:r>
      <w:r w:rsidR="001D06F7">
        <w:t>Copson, Chief Executive of Humanists UK</w:t>
      </w:r>
      <w:r w:rsidR="00467945">
        <w:t xml:space="preserve"> and a </w:t>
      </w:r>
      <w:r w:rsidR="001D06F7">
        <w:t>witness for the Claimants</w:t>
      </w:r>
      <w:r w:rsidR="00AA356A">
        <w:t xml:space="preserve">, states that </w:t>
      </w:r>
      <w:r w:rsidR="00996580">
        <w:t>Humanists UK has some 85,000 members and supporters an</w:t>
      </w:r>
      <w:r w:rsidR="00934AE2">
        <w:t>d over 70 local and special interest affiliates.</w:t>
      </w:r>
      <w:r w:rsidR="008328DD">
        <w:t xml:space="preserve">  </w:t>
      </w:r>
      <w:r w:rsidR="002E18A0">
        <w:t xml:space="preserve">As for </w:t>
      </w:r>
      <w:r w:rsidR="00A450F1">
        <w:t xml:space="preserve">those who might hold humanist beliefs, </w:t>
      </w:r>
      <w:r w:rsidR="00AA356A">
        <w:t xml:space="preserve">Mr Copson says that, </w:t>
      </w:r>
      <w:r w:rsidR="00A450F1">
        <w:t xml:space="preserve">in a YouGov poll commissioned by Humanists UK in 2018, </w:t>
      </w:r>
      <w:r w:rsidR="00CA689A">
        <w:t xml:space="preserve">6% said they were non-religious and </w:t>
      </w:r>
      <w:r w:rsidR="00254FB7">
        <w:t xml:space="preserve">identified themselves as ‘humanist’ (as opposed to </w:t>
      </w:r>
      <w:r w:rsidR="00B47602">
        <w:t xml:space="preserve">other descriptors  such as </w:t>
      </w:r>
      <w:r w:rsidR="00254FB7">
        <w:t>‘atheist’</w:t>
      </w:r>
      <w:r w:rsidR="00B47602">
        <w:t xml:space="preserve"> or ‘agnostic’)</w:t>
      </w:r>
      <w:r w:rsidR="005E3286">
        <w:t xml:space="preserve"> and 25% identified as non-religious and </w:t>
      </w:r>
      <w:r w:rsidR="000B4316">
        <w:t>choose answers to multiple-choice questions that aligned with humanist beliefs</w:t>
      </w:r>
      <w:r w:rsidR="009E7A2B">
        <w:t xml:space="preserve">. </w:t>
      </w:r>
      <w:r w:rsidR="00254FB7">
        <w:t xml:space="preserve"> </w:t>
      </w:r>
    </w:p>
    <w:p w14:paraId="106C9989" w14:textId="3144CED4" w:rsidR="00EF26C1" w:rsidRDefault="00AA79A1" w:rsidP="000768DC">
      <w:pPr>
        <w:pStyle w:val="ParaLevel1"/>
      </w:pPr>
      <w:bookmarkStart w:id="4" w:name="_Hlk45266972"/>
      <w:r>
        <w:t xml:space="preserve">As for what those beliefs are, </w:t>
      </w:r>
      <w:r w:rsidR="000D61D4">
        <w:t xml:space="preserve">in his first witness statement, </w:t>
      </w:r>
      <w:r w:rsidR="00B5645F">
        <w:t xml:space="preserve">Mr </w:t>
      </w:r>
      <w:r w:rsidR="00EF26C1">
        <w:t>Copson</w:t>
      </w:r>
      <w:r w:rsidR="00B5645F">
        <w:t xml:space="preserve"> </w:t>
      </w:r>
      <w:bookmarkEnd w:id="4"/>
      <w:r w:rsidR="00EF26C1">
        <w:t xml:space="preserve">describes humanism and humanists in the following terms: </w:t>
      </w:r>
    </w:p>
    <w:p w14:paraId="2159ED93" w14:textId="47408C82" w:rsidR="00EF26C1" w:rsidRDefault="00D018F7" w:rsidP="000768DC">
      <w:pPr>
        <w:pStyle w:val="Quote"/>
      </w:pPr>
      <w:r>
        <w:t>“</w:t>
      </w:r>
      <w:r w:rsidR="00EF26C1">
        <w:t>4. Humanists are people who shape their own lives in the here and now, because we believe this is the only life we have. Humanism is a non-religious worldview and humanists are therefore either atheists or agnostics. We adopt a naturalistic outlook, believing that, in the absence of an afterlife and any discernible purpose to the universe, human beings can act to give their own lives meaning by seeking happiness in this life and helping others to do the same. We make sense of the world through logic, reason, and evidence, and base our ethical decisions on reason, empathy, and a concern for human beings and other sentient animals, always seeking to treat those around us with warmth, understanding, and respect.</w:t>
      </w:r>
      <w:r>
        <w:t>”</w:t>
      </w:r>
      <w:r w:rsidR="007C2AC3">
        <w:t xml:space="preserve"> (see Mr Copson’s first witness statement in these proceedings)</w:t>
      </w:r>
    </w:p>
    <w:p w14:paraId="371A8D08" w14:textId="64EA1E2E" w:rsidR="004C6D6F" w:rsidRDefault="00985570" w:rsidP="000768DC">
      <w:pPr>
        <w:pStyle w:val="ParaLevel1"/>
      </w:pPr>
      <w:r>
        <w:lastRenderedPageBreak/>
        <w:t xml:space="preserve">Mr Copson also </w:t>
      </w:r>
      <w:r w:rsidR="00CD06A1">
        <w:t xml:space="preserve">exhibits </w:t>
      </w:r>
      <w:r>
        <w:t xml:space="preserve">the </w:t>
      </w:r>
      <w:r w:rsidR="00112EAF">
        <w:t>World Humanist Congress Amsterdam Declaration</w:t>
      </w:r>
      <w:r w:rsidR="00E86531">
        <w:t xml:space="preserve"> </w:t>
      </w:r>
      <w:r w:rsidR="00112EAF">
        <w:t>1952</w:t>
      </w:r>
      <w:r w:rsidR="00657545">
        <w:t xml:space="preserve"> (“the Amsterdam Declaration”)</w:t>
      </w:r>
      <w:r w:rsidR="00112EAF">
        <w:t xml:space="preserve"> which sets </w:t>
      </w:r>
      <w:r w:rsidR="006059D8">
        <w:t>out the “</w:t>
      </w:r>
      <w:r w:rsidR="006059D8" w:rsidRPr="00F11BEB">
        <w:rPr>
          <w:i/>
          <w:iCs/>
        </w:rPr>
        <w:t>fundamentals of modern, ethical humanism</w:t>
      </w:r>
      <w:r w:rsidR="006059D8">
        <w:t>”</w:t>
      </w:r>
      <w:r w:rsidR="00B01552">
        <w:t>, stating</w:t>
      </w:r>
      <w:r w:rsidR="00CE221A">
        <w:t xml:space="preserve"> that humanists </w:t>
      </w:r>
      <w:r w:rsidR="00CC69A7">
        <w:t xml:space="preserve">believe in the democratic principle as applied to all human relationships; in the </w:t>
      </w:r>
      <w:r w:rsidR="00EE79B3">
        <w:t xml:space="preserve">world-wide application of the scientific method; in the dignity of </w:t>
      </w:r>
      <w:r w:rsidR="00692AF7">
        <w:t xml:space="preserve">all humans and the right of the individual to the greatest possible freedom of development compatible with </w:t>
      </w:r>
      <w:r w:rsidR="000F405E">
        <w:t>the rights of others; in personal liberty as an end that must be combined with social responsibility</w:t>
      </w:r>
      <w:r w:rsidR="00580DF0">
        <w:t xml:space="preserve">; and </w:t>
      </w:r>
      <w:r w:rsidR="0062373B">
        <w:t>humanism is described as a “</w:t>
      </w:r>
      <w:r w:rsidR="0062373B" w:rsidRPr="00EF4710">
        <w:rPr>
          <w:i/>
          <w:iCs/>
        </w:rPr>
        <w:t>way of life, aiming at the maximum possible fulfilment, through the cultivation of ethical and creative living</w:t>
      </w:r>
      <w:r w:rsidR="0062373B">
        <w:t>”.</w:t>
      </w:r>
      <w:r w:rsidR="00E86531">
        <w:t xml:space="preserve">  </w:t>
      </w:r>
      <w:r w:rsidR="0049570A">
        <w:t>T</w:t>
      </w:r>
      <w:r w:rsidR="00E86531">
        <w:t>he Amsterdam Declaration was updated in 2002</w:t>
      </w:r>
      <w:r w:rsidR="00D8100F">
        <w:t xml:space="preserve">, </w:t>
      </w:r>
      <w:r w:rsidR="0049570A">
        <w:t xml:space="preserve">essentially </w:t>
      </w:r>
      <w:r w:rsidR="00D8100F">
        <w:t xml:space="preserve">reaffirming </w:t>
      </w:r>
      <w:r w:rsidR="00E26E74">
        <w:t>th</w:t>
      </w:r>
      <w:r w:rsidR="002F2F26">
        <w:t>os</w:t>
      </w:r>
      <w:r w:rsidR="00E26E74">
        <w:t>e principles</w:t>
      </w:r>
      <w:r w:rsidR="00D8100F">
        <w:t>.</w:t>
      </w:r>
    </w:p>
    <w:p w14:paraId="75E17E56" w14:textId="601FFCAC" w:rsidR="00DA7BCD" w:rsidRDefault="006F722C" w:rsidP="000768DC">
      <w:pPr>
        <w:pStyle w:val="ParaLevel1"/>
      </w:pPr>
      <w:r>
        <w:t>It is not in dispute that humanism has been afforded equal status to the major world religions in many aspects of public life in the United Kingdom.  In this regard, examples given by Mr Copson include education, healthcare, public broadcasting and remembrance</w:t>
      </w:r>
      <w:r w:rsidR="003767A4">
        <w:t>; m</w:t>
      </w:r>
      <w:r>
        <w:t xml:space="preserve">ore specifically, humanist marriage has been given legal recognition in Scotland, Northern Ireland and Jersey.  </w:t>
      </w:r>
      <w:r w:rsidR="00D941A2">
        <w:t>T</w:t>
      </w:r>
      <w:r w:rsidR="00940079">
        <w:t xml:space="preserve">he </w:t>
      </w:r>
      <w:r w:rsidR="004026BE">
        <w:t>Defendant</w:t>
      </w:r>
      <w:r w:rsidR="00D941A2">
        <w:t xml:space="preserve"> accepts that humanism is a recognised belief system</w:t>
      </w:r>
      <w:r w:rsidR="004026BE">
        <w:t>,</w:t>
      </w:r>
      <w:r w:rsidR="003B7EE2">
        <w:t xml:space="preserve"> with </w:t>
      </w:r>
      <w:proofErr w:type="gramStart"/>
      <w:r w:rsidR="003B7EE2">
        <w:t>a number of</w:t>
      </w:r>
      <w:proofErr w:type="gramEnd"/>
      <w:r w:rsidR="003B7EE2">
        <w:t xml:space="preserve"> core beliefs, albeit </w:t>
      </w:r>
      <w:r w:rsidR="004F18DD">
        <w:t>he</w:t>
      </w:r>
      <w:r w:rsidR="006F2800">
        <w:t xml:space="preserve"> observes</w:t>
      </w:r>
      <w:r w:rsidR="004026BE">
        <w:t xml:space="preserve"> that </w:t>
      </w:r>
      <w:r w:rsidR="00920206">
        <w:t xml:space="preserve">the principles laid down in the Amsterdam Declaration </w:t>
      </w:r>
      <w:r w:rsidR="005F0469">
        <w:t>emphasise that “</w:t>
      </w:r>
      <w:r w:rsidR="005F0469">
        <w:rPr>
          <w:i/>
        </w:rPr>
        <w:t>humanism is un-dogmatic, imposing no creed upon its adherents</w:t>
      </w:r>
      <w:r w:rsidR="005F0469">
        <w:t>”</w:t>
      </w:r>
      <w:r w:rsidR="006F2800">
        <w:t xml:space="preserve"> and that</w:t>
      </w:r>
      <w:r w:rsidR="004470FB">
        <w:t xml:space="preserve">, in his </w:t>
      </w:r>
      <w:r w:rsidR="00354AF4">
        <w:t>evidence</w:t>
      </w:r>
      <w:r w:rsidR="004470FB">
        <w:t xml:space="preserve"> in these proceedings</w:t>
      </w:r>
      <w:r w:rsidR="007C2AC3">
        <w:t xml:space="preserve">, Mr Copson </w:t>
      </w:r>
      <w:r w:rsidR="00767907">
        <w:t>explains that Humanists UK “</w:t>
      </w:r>
      <w:r w:rsidR="00767907" w:rsidRPr="00533A30">
        <w:rPr>
          <w:i/>
          <w:iCs/>
        </w:rPr>
        <w:t>advances fre</w:t>
      </w:r>
      <w:r w:rsidR="00B84F30" w:rsidRPr="00533A30">
        <w:rPr>
          <w:i/>
          <w:iCs/>
        </w:rPr>
        <w:t>e thinking</w:t>
      </w:r>
      <w:r w:rsidR="00B84F30">
        <w:t>”</w:t>
      </w:r>
      <w:r w:rsidR="00B553BC">
        <w:t xml:space="preserve"> (see paragraph 7 of </w:t>
      </w:r>
      <w:r w:rsidR="007210FF">
        <w:t>Mr Copson’s first</w:t>
      </w:r>
      <w:r w:rsidR="00B553BC">
        <w:t xml:space="preserve"> statement). </w:t>
      </w:r>
    </w:p>
    <w:p w14:paraId="34EC94E1" w14:textId="6CC695CE" w:rsidR="005E03FE" w:rsidRPr="000E67AC" w:rsidRDefault="005E03FE" w:rsidP="000768DC">
      <w:pPr>
        <w:pStyle w:val="ParaLevel1"/>
        <w:numPr>
          <w:ilvl w:val="0"/>
          <w:numId w:val="0"/>
        </w:numPr>
        <w:rPr>
          <w:b/>
          <w:bCs/>
        </w:rPr>
      </w:pPr>
      <w:bookmarkStart w:id="5" w:name="marriage_and_humanism"/>
      <w:r w:rsidRPr="000E67AC">
        <w:rPr>
          <w:b/>
          <w:bCs/>
        </w:rPr>
        <w:t>Marriage and Humanism</w:t>
      </w:r>
    </w:p>
    <w:bookmarkEnd w:id="5"/>
    <w:p w14:paraId="7B0EE680" w14:textId="40AA8ECE" w:rsidR="00741E68" w:rsidRDefault="00BE4154" w:rsidP="000768DC">
      <w:pPr>
        <w:pStyle w:val="ParaLevel1"/>
      </w:pPr>
      <w:r>
        <w:t>Although</w:t>
      </w:r>
      <w:r w:rsidR="00D826C1">
        <w:t xml:space="preserve"> </w:t>
      </w:r>
      <w:r w:rsidR="00466784">
        <w:t xml:space="preserve">the Defendant </w:t>
      </w:r>
      <w:r>
        <w:t xml:space="preserve">accepts that humanism is a recognised belief system, it is </w:t>
      </w:r>
      <w:r w:rsidR="00466784">
        <w:t xml:space="preserve">contended that </w:t>
      </w:r>
      <w:r w:rsidR="00741E68">
        <w:t xml:space="preserve">the core beliefs of humanism do not include a belief in </w:t>
      </w:r>
      <w:r w:rsidR="0012439B">
        <w:t xml:space="preserve">marriage.  In this regard, the Defendant </w:t>
      </w:r>
      <w:r w:rsidR="00E30BB7">
        <w:t>observe</w:t>
      </w:r>
      <w:r w:rsidR="0012439B">
        <w:t>s</w:t>
      </w:r>
      <w:r w:rsidR="00E30BB7">
        <w:t xml:space="preserve"> that</w:t>
      </w:r>
      <w:r w:rsidR="004D497B">
        <w:t xml:space="preserve"> </w:t>
      </w:r>
      <w:r w:rsidR="0059676C">
        <w:t xml:space="preserve">no definition of </w:t>
      </w:r>
      <w:r w:rsidR="004D497B">
        <w:t>humanism</w:t>
      </w:r>
      <w:r w:rsidR="0059676C">
        <w:t xml:space="preserve"> </w:t>
      </w:r>
      <w:r w:rsidR="00D34344">
        <w:t>refers to marriage</w:t>
      </w:r>
      <w:r w:rsidR="007C3BFA">
        <w:t>,</w:t>
      </w:r>
      <w:r w:rsidR="00D34344">
        <w:t xml:space="preserve"> and</w:t>
      </w:r>
      <w:r w:rsidR="00E30BB7">
        <w:t xml:space="preserve"> that</w:t>
      </w:r>
      <w:r w:rsidR="00D34344">
        <w:t xml:space="preserve"> </w:t>
      </w:r>
      <w:r w:rsidR="00DA7ABB">
        <w:t>h</w:t>
      </w:r>
      <w:r w:rsidR="004D497B">
        <w:t>umanism does not impose a moral or other obligation on its adherents to marry</w:t>
      </w:r>
      <w:r w:rsidR="00BB615C">
        <w:t>,</w:t>
      </w:r>
      <w:r w:rsidR="004D497B">
        <w:t xml:space="preserve"> or to use a </w:t>
      </w:r>
      <w:proofErr w:type="gramStart"/>
      <w:r w:rsidR="004D497B">
        <w:t>particular ceremony</w:t>
      </w:r>
      <w:proofErr w:type="gramEnd"/>
      <w:r w:rsidR="00544C8F">
        <w:t xml:space="preserve"> if</w:t>
      </w:r>
      <w:r w:rsidR="004D497B">
        <w:t xml:space="preserve"> they do so.</w:t>
      </w:r>
      <w:r w:rsidR="00E30BB7">
        <w:t xml:space="preserve">  </w:t>
      </w:r>
      <w:r w:rsidR="00673A9B">
        <w:t xml:space="preserve">The Defendant contrasts this </w:t>
      </w:r>
      <w:r w:rsidR="003574B4">
        <w:t xml:space="preserve">with the position in respect of </w:t>
      </w:r>
      <w:r w:rsidR="00E55D80">
        <w:t>religious beliefs</w:t>
      </w:r>
      <w:r w:rsidR="00FD78A5">
        <w:t xml:space="preserve">, where marriage is </w:t>
      </w:r>
      <w:r w:rsidR="001E167A">
        <w:t xml:space="preserve">said to be </w:t>
      </w:r>
      <w:r w:rsidR="00FD78A5">
        <w:t xml:space="preserve">an inherent and obligatory part of </w:t>
      </w:r>
      <w:r w:rsidR="00786D70">
        <w:t>the religion in question</w:t>
      </w:r>
      <w:r w:rsidR="0070620A">
        <w:t xml:space="preserve">; </w:t>
      </w:r>
      <w:r w:rsidR="00F037FD">
        <w:t xml:space="preserve">the Defendant </w:t>
      </w:r>
      <w:r w:rsidR="006E15EB">
        <w:t xml:space="preserve">contends that this distinction is reflective of the fact that ceremony </w:t>
      </w:r>
      <w:r w:rsidR="008364BF">
        <w:t xml:space="preserve">and communal expression of belief is also </w:t>
      </w:r>
      <w:r w:rsidR="00BF70A8">
        <w:t xml:space="preserve">a more significant part of religion than it is of humanism. </w:t>
      </w:r>
    </w:p>
    <w:p w14:paraId="738CDD10" w14:textId="59C0E7EA" w:rsidR="00F41F7F" w:rsidRDefault="00786D70" w:rsidP="000768DC">
      <w:pPr>
        <w:pStyle w:val="ParaLevel1"/>
      </w:pPr>
      <w:r>
        <w:t>There is a dispute between the parties in this respect</w:t>
      </w:r>
      <w:r w:rsidR="00A00372">
        <w:t xml:space="preserve">, both as to the relevance of the distinction drawn by the Defendant and as to </w:t>
      </w:r>
      <w:r w:rsidR="007700EB">
        <w:t xml:space="preserve">its accuracy.  The Claimants </w:t>
      </w:r>
      <w:r w:rsidR="00162F40">
        <w:t>have adduced evidence from</w:t>
      </w:r>
      <w:r w:rsidR="000F4364">
        <w:t xml:space="preserve"> </w:t>
      </w:r>
      <w:r w:rsidR="001D7753">
        <w:t xml:space="preserve">Professor Woodhead </w:t>
      </w:r>
      <w:r w:rsidR="00DA0FCF">
        <w:t>(Distinguished Professor of Religion and Society at Lancaster University</w:t>
      </w:r>
      <w:r w:rsidR="00983035">
        <w:t xml:space="preserve">), who </w:t>
      </w:r>
      <w:r w:rsidR="00FB31F8">
        <w:t xml:space="preserve">suggests that </w:t>
      </w:r>
      <w:r w:rsidR="006F35F6">
        <w:t>marriage can be seen to have a rather ambiguous position within Christian belief and practice</w:t>
      </w:r>
      <w:r w:rsidR="00FB31F8">
        <w:t>; and they</w:t>
      </w:r>
      <w:r w:rsidR="00F9284B">
        <w:t xml:space="preserve"> point to the fact that some religions appear to maintain a</w:t>
      </w:r>
      <w:r w:rsidR="00901474">
        <w:t xml:space="preserve"> more</w:t>
      </w:r>
      <w:r w:rsidR="00F9284B">
        <w:t xml:space="preserve"> neutral position in respect of marriage, for example </w:t>
      </w:r>
      <w:r w:rsidR="00770695">
        <w:t xml:space="preserve">Buddhism. </w:t>
      </w:r>
      <w:r w:rsidR="00CC7234">
        <w:t xml:space="preserve"> The</w:t>
      </w:r>
      <w:r w:rsidR="00FB31F8">
        <w:t xml:space="preserve"> Claimants</w:t>
      </w:r>
      <w:r w:rsidR="00CC7234">
        <w:t xml:space="preserve"> further contest the Defendant’s suggestion </w:t>
      </w:r>
      <w:r w:rsidR="00073B23">
        <w:t xml:space="preserve">that communal practice </w:t>
      </w:r>
      <w:r w:rsidR="00CC7234">
        <w:t>constitutes an</w:t>
      </w:r>
      <w:r w:rsidR="00073B23">
        <w:t xml:space="preserve"> essential difference between religions and humanism</w:t>
      </w:r>
      <w:r w:rsidR="00C3171B">
        <w:t xml:space="preserve">, </w:t>
      </w:r>
      <w:r w:rsidR="00876668">
        <w:t>submitting that is not born</w:t>
      </w:r>
      <w:r w:rsidR="00C940F2">
        <w:t>e</w:t>
      </w:r>
      <w:r w:rsidR="00876668">
        <w:t xml:space="preserve"> out</w:t>
      </w:r>
      <w:proofErr w:type="gramStart"/>
      <w:r w:rsidR="00876668">
        <w:t xml:space="preserve">, </w:t>
      </w:r>
      <w:r w:rsidR="00C3171B">
        <w:t>in particular</w:t>
      </w:r>
      <w:r w:rsidR="00876668">
        <w:t>,</w:t>
      </w:r>
      <w:r w:rsidR="009D69BE">
        <w:t xml:space="preserve"> in</w:t>
      </w:r>
      <w:proofErr w:type="gramEnd"/>
      <w:r w:rsidR="009D69BE">
        <w:t xml:space="preserve"> relation to what might be described as rite of passage ceremonies (see both the evidence of Professor Woodhead and the statement</w:t>
      </w:r>
      <w:r w:rsidR="00470474">
        <w:t>s</w:t>
      </w:r>
      <w:r w:rsidR="009D69BE">
        <w:t xml:space="preserve"> of </w:t>
      </w:r>
      <w:r w:rsidR="00470474">
        <w:t>Dr Lee</w:t>
      </w:r>
      <w:r w:rsidR="001546F0">
        <w:t xml:space="preserve"> (Senior Research Fellow in Religious Studies at the University of Kent</w:t>
      </w:r>
      <w:r w:rsidR="00470474">
        <w:t>)</w:t>
      </w:r>
      <w:r w:rsidR="005C2155">
        <w:t>)</w:t>
      </w:r>
      <w:r w:rsidR="00470474">
        <w:t>.</w:t>
      </w:r>
      <w:r w:rsidR="00901474">
        <w:t xml:space="preserve">  </w:t>
      </w:r>
      <w:r w:rsidR="007D49C9">
        <w:t xml:space="preserve">More generally, </w:t>
      </w:r>
      <w:r w:rsidR="00700437">
        <w:t xml:space="preserve">the Claimants point out that </w:t>
      </w:r>
      <w:r w:rsidR="00F41F7F">
        <w:t xml:space="preserve">the distinction between the different forms of marriage recognised by </w:t>
      </w:r>
      <w:r w:rsidR="003B2D60">
        <w:t xml:space="preserve">English </w:t>
      </w:r>
      <w:r w:rsidR="00F41F7F">
        <w:t>law that lies at the heart of this case does not depend upon the establishment of the existence of a belief in marriage</w:t>
      </w:r>
      <w:bookmarkStart w:id="6" w:name="_Hlk45280622"/>
      <w:r w:rsidR="00131EE0">
        <w:t xml:space="preserve">; </w:t>
      </w:r>
      <w:r w:rsidR="00F41F7F">
        <w:t>this is a point to which I return below</w:t>
      </w:r>
      <w:r w:rsidR="00D33F1F">
        <w:t xml:space="preserve">, when addressing the question </w:t>
      </w:r>
      <w:r w:rsidR="006673DD">
        <w:t>whether the circumstances of the Claimants can be said to be analogous to those of their comparators</w:t>
      </w:r>
      <w:r w:rsidR="0060775F">
        <w:t xml:space="preserve"> and when </w:t>
      </w:r>
      <w:r w:rsidR="00507083">
        <w:t>considering issues relevant to justification</w:t>
      </w:r>
      <w:r w:rsidR="00F41F7F">
        <w:t xml:space="preserve">.  </w:t>
      </w:r>
    </w:p>
    <w:p w14:paraId="6C727878" w14:textId="2FCB3EA2" w:rsidR="004D497B" w:rsidRDefault="0086652F" w:rsidP="000768DC">
      <w:pPr>
        <w:pStyle w:val="ParaLevel1"/>
      </w:pPr>
      <w:r>
        <w:lastRenderedPageBreak/>
        <w:t xml:space="preserve">As for the </w:t>
      </w:r>
      <w:r w:rsidR="002B50F0">
        <w:t xml:space="preserve">way in which humanists </w:t>
      </w:r>
      <w:r w:rsidR="00447D26">
        <w:t>see</w:t>
      </w:r>
      <w:r w:rsidR="002B50F0">
        <w:t xml:space="preserve"> marriage, the Defendant draws attention to </w:t>
      </w:r>
      <w:r w:rsidR="007C5072">
        <w:t xml:space="preserve">a document entitled </w:t>
      </w:r>
      <w:bookmarkEnd w:id="6"/>
      <w:r w:rsidR="004D497B">
        <w:t>“</w:t>
      </w:r>
      <w:r w:rsidR="004D497B" w:rsidRPr="007C5072">
        <w:rPr>
          <w:i/>
        </w:rPr>
        <w:t>Humanist perspective: Families and relationships</w:t>
      </w:r>
      <w:r w:rsidR="004D497B">
        <w:t xml:space="preserve">” </w:t>
      </w:r>
      <w:r w:rsidR="00642ECA">
        <w:t>(</w:t>
      </w:r>
      <w:r w:rsidR="004D497B">
        <w:t>produced in 2016</w:t>
      </w:r>
      <w:r w:rsidR="00073964">
        <w:t>,</w:t>
      </w:r>
      <w:r w:rsidR="004D497B">
        <w:t xml:space="preserve"> by the British Humanist Association</w:t>
      </w:r>
      <w:r w:rsidR="00CB17AD">
        <w:t xml:space="preserve">, </w:t>
      </w:r>
      <w:r w:rsidR="00CB17AD">
        <w:rPr>
          <w:sz w:val="22"/>
          <w:szCs w:val="22"/>
          <w:lang w:eastAsia="en-GB"/>
        </w:rPr>
        <w:t>the name by which Humanists UK was then known</w:t>
      </w:r>
      <w:r w:rsidR="004D497B">
        <w:t>)</w:t>
      </w:r>
      <w:r w:rsidR="002F61D2">
        <w:t xml:space="preserve">, </w:t>
      </w:r>
      <w:r w:rsidR="003E5A0A">
        <w:t xml:space="preserve">in which </w:t>
      </w:r>
      <w:r w:rsidR="007C5072">
        <w:t>it is</w:t>
      </w:r>
      <w:r w:rsidR="002F61D2">
        <w:t xml:space="preserve"> </w:t>
      </w:r>
      <w:r w:rsidR="004D497B">
        <w:t>state</w:t>
      </w:r>
      <w:r w:rsidR="007C5072">
        <w:t>d</w:t>
      </w:r>
      <w:r w:rsidR="004D497B">
        <w:t xml:space="preserve">: </w:t>
      </w:r>
    </w:p>
    <w:p w14:paraId="3E2C5E37" w14:textId="40FBA599" w:rsidR="000B3AAE" w:rsidRPr="009A3C95" w:rsidRDefault="004D497B" w:rsidP="000768DC">
      <w:pPr>
        <w:pStyle w:val="Quote"/>
        <w:rPr>
          <w:color w:val="000000"/>
          <w:szCs w:val="24"/>
          <w:lang w:eastAsia="en-GB"/>
        </w:rPr>
      </w:pPr>
      <w:r>
        <w:t xml:space="preserve">“Many humanists approve of the idea of marriage; many others believe that marriage is not necessarily an essential part of a good relationship. They </w:t>
      </w:r>
      <w:r w:rsidRPr="009E4EDC">
        <w:rPr>
          <w:szCs w:val="24"/>
        </w:rPr>
        <w:t xml:space="preserve">therefore also approve of cohabitation (unmarried couples living together). </w:t>
      </w:r>
      <w:r w:rsidR="0000181D" w:rsidRPr="009E4EDC">
        <w:rPr>
          <w:szCs w:val="24"/>
        </w:rPr>
        <w:t>…</w:t>
      </w:r>
      <w:r w:rsidRPr="009E4EDC">
        <w:rPr>
          <w:szCs w:val="24"/>
        </w:rPr>
        <w:t>. A couple should not, however, feel forced to get married if it is not something they wish to do. People should be free to make mutually</w:t>
      </w:r>
      <w:r w:rsidR="000B3AAE" w:rsidRPr="009E4EDC">
        <w:rPr>
          <w:color w:val="000000"/>
          <w:szCs w:val="24"/>
          <w:lang w:eastAsia="en-GB"/>
        </w:rPr>
        <w:t xml:space="preserve"> agreeable decisions about how they wish to live their lives without </w:t>
      </w:r>
      <w:r w:rsidR="000B3AAE" w:rsidRPr="009A3C95">
        <w:rPr>
          <w:color w:val="000000"/>
          <w:szCs w:val="24"/>
          <w:lang w:eastAsia="en-GB"/>
        </w:rPr>
        <w:t>interference or pressure from others.</w:t>
      </w:r>
      <w:r w:rsidR="009E4EDC" w:rsidRPr="009A3C95">
        <w:rPr>
          <w:color w:val="000000"/>
          <w:szCs w:val="24"/>
          <w:lang w:eastAsia="en-GB"/>
        </w:rPr>
        <w:t xml:space="preserve"> …</w:t>
      </w:r>
      <w:r w:rsidR="00485117">
        <w:rPr>
          <w:color w:val="000000"/>
          <w:szCs w:val="24"/>
          <w:lang w:eastAsia="en-GB"/>
        </w:rPr>
        <w:t>”</w:t>
      </w:r>
      <w:r w:rsidR="000B3AAE" w:rsidRPr="009A3C95">
        <w:rPr>
          <w:color w:val="000000"/>
          <w:sz w:val="22"/>
          <w:szCs w:val="22"/>
          <w:lang w:eastAsia="en-GB"/>
        </w:rPr>
        <w:t xml:space="preserve"> </w:t>
      </w:r>
    </w:p>
    <w:p w14:paraId="0FAC977E" w14:textId="4B5CB66C" w:rsidR="00864350" w:rsidRPr="00864350" w:rsidRDefault="009E0A4F" w:rsidP="000768DC">
      <w:pPr>
        <w:pStyle w:val="ParaLevel1"/>
        <w:rPr>
          <w:color w:val="000000"/>
          <w:szCs w:val="24"/>
          <w:lang w:eastAsia="en-GB"/>
        </w:rPr>
      </w:pPr>
      <w:r>
        <w:rPr>
          <w:lang w:eastAsia="en-GB"/>
        </w:rPr>
        <w:t>Whilst acknowledging</w:t>
      </w:r>
      <w:r w:rsidR="004571A4">
        <w:rPr>
          <w:lang w:eastAsia="en-GB"/>
        </w:rPr>
        <w:t xml:space="preserve"> that humanist wedding ceremonies are carried out by Humanists UK, </w:t>
      </w:r>
      <w:r w:rsidR="009F2E7E">
        <w:rPr>
          <w:lang w:eastAsia="en-GB"/>
        </w:rPr>
        <w:t xml:space="preserve">the Defendant does not accept that </w:t>
      </w:r>
      <w:r w:rsidR="004C351B">
        <w:rPr>
          <w:lang w:eastAsia="en-GB"/>
        </w:rPr>
        <w:t>there is evidence that Humanists UK considered themselves to have “</w:t>
      </w:r>
      <w:r w:rsidR="004C351B" w:rsidRPr="003E5A0A">
        <w:rPr>
          <w:i/>
          <w:iCs/>
          <w:lang w:eastAsia="en-GB"/>
        </w:rPr>
        <w:t>usages</w:t>
      </w:r>
      <w:r w:rsidR="004C351B">
        <w:rPr>
          <w:lang w:eastAsia="en-GB"/>
        </w:rPr>
        <w:t xml:space="preserve">” </w:t>
      </w:r>
      <w:r w:rsidR="00BF285F">
        <w:rPr>
          <w:lang w:eastAsia="en-GB"/>
        </w:rPr>
        <w:t xml:space="preserve">any earlier than December 2014, when </w:t>
      </w:r>
      <w:r w:rsidR="009218AF">
        <w:rPr>
          <w:lang w:eastAsia="en-GB"/>
        </w:rPr>
        <w:t>a</w:t>
      </w:r>
      <w:r w:rsidR="00BF285F">
        <w:rPr>
          <w:lang w:eastAsia="en-GB"/>
        </w:rPr>
        <w:t xml:space="preserve"> document</w:t>
      </w:r>
      <w:r w:rsidR="000B3AAE" w:rsidRPr="009E4EDC">
        <w:rPr>
          <w:color w:val="000000"/>
          <w:szCs w:val="24"/>
          <w:lang w:eastAsia="en-GB"/>
        </w:rPr>
        <w:t xml:space="preserve"> entitled “</w:t>
      </w:r>
      <w:r w:rsidR="000B3AAE" w:rsidRPr="009E4EDC">
        <w:rPr>
          <w:i/>
          <w:color w:val="000000"/>
          <w:szCs w:val="24"/>
          <w:lang w:eastAsia="en-GB"/>
        </w:rPr>
        <w:t>Usages for humanist marriages</w:t>
      </w:r>
      <w:r w:rsidR="000B3AAE" w:rsidRPr="009E4EDC">
        <w:rPr>
          <w:color w:val="000000"/>
          <w:szCs w:val="24"/>
          <w:lang w:eastAsia="en-GB"/>
        </w:rPr>
        <w:t>”</w:t>
      </w:r>
      <w:r w:rsidR="00BF285F">
        <w:rPr>
          <w:color w:val="000000"/>
          <w:szCs w:val="24"/>
          <w:lang w:eastAsia="en-GB"/>
        </w:rPr>
        <w:t xml:space="preserve"> was produced</w:t>
      </w:r>
      <w:r w:rsidR="003E5A0A">
        <w:rPr>
          <w:color w:val="000000"/>
          <w:szCs w:val="24"/>
          <w:lang w:eastAsia="en-GB"/>
        </w:rPr>
        <w:t xml:space="preserve">.  </w:t>
      </w:r>
      <w:r w:rsidR="009218AF">
        <w:rPr>
          <w:color w:val="000000"/>
          <w:szCs w:val="24"/>
          <w:lang w:eastAsia="en-GB"/>
        </w:rPr>
        <w:t>The Defendant</w:t>
      </w:r>
      <w:r w:rsidR="003E5A0A">
        <w:rPr>
          <w:color w:val="000000"/>
          <w:szCs w:val="24"/>
          <w:lang w:eastAsia="en-GB"/>
        </w:rPr>
        <w:t xml:space="preserve"> further </w:t>
      </w:r>
      <w:r w:rsidR="001B6F7F">
        <w:rPr>
          <w:color w:val="000000"/>
          <w:szCs w:val="24"/>
          <w:lang w:eastAsia="en-GB"/>
        </w:rPr>
        <w:t>note</w:t>
      </w:r>
      <w:r w:rsidR="009218AF">
        <w:rPr>
          <w:color w:val="000000"/>
          <w:szCs w:val="24"/>
          <w:lang w:eastAsia="en-GB"/>
        </w:rPr>
        <w:t>s</w:t>
      </w:r>
      <w:r w:rsidR="001B6F7F">
        <w:rPr>
          <w:color w:val="000000"/>
          <w:szCs w:val="24"/>
          <w:lang w:eastAsia="en-GB"/>
        </w:rPr>
        <w:t xml:space="preserve"> that </w:t>
      </w:r>
      <w:r w:rsidR="000B3AAE" w:rsidRPr="009A3C95">
        <w:rPr>
          <w:color w:val="000000"/>
          <w:lang w:eastAsia="en-GB"/>
        </w:rPr>
        <w:t>humanist weddings can take a “</w:t>
      </w:r>
      <w:r w:rsidR="000B3AAE" w:rsidRPr="009A3C95">
        <w:rPr>
          <w:i/>
          <w:color w:val="000000"/>
          <w:lang w:eastAsia="en-GB"/>
        </w:rPr>
        <w:t>wide variety of forms</w:t>
      </w:r>
      <w:r w:rsidR="000B3AAE" w:rsidRPr="009A3C95">
        <w:rPr>
          <w:color w:val="000000"/>
          <w:lang w:eastAsia="en-GB"/>
        </w:rPr>
        <w:t>”</w:t>
      </w:r>
      <w:r w:rsidR="000B3AAE" w:rsidRPr="00740753">
        <w:rPr>
          <w:color w:val="000000"/>
          <w:lang w:eastAsia="en-GB"/>
        </w:rPr>
        <w:t xml:space="preserve"> </w:t>
      </w:r>
      <w:r w:rsidR="00864350">
        <w:rPr>
          <w:color w:val="000000"/>
          <w:lang w:eastAsia="en-GB"/>
        </w:rPr>
        <w:t xml:space="preserve">and are </w:t>
      </w:r>
      <w:r w:rsidR="000B3AAE" w:rsidRPr="00864350">
        <w:rPr>
          <w:color w:val="000000"/>
          <w:lang w:eastAsia="en-GB"/>
        </w:rPr>
        <w:t>“</w:t>
      </w:r>
      <w:r w:rsidR="000B3AAE" w:rsidRPr="00864350">
        <w:rPr>
          <w:i/>
          <w:color w:val="000000"/>
          <w:lang w:eastAsia="en-GB"/>
        </w:rPr>
        <w:t>entirely individually crafted</w:t>
      </w:r>
      <w:r w:rsidR="000B3AAE" w:rsidRPr="00864350">
        <w:rPr>
          <w:color w:val="000000"/>
          <w:lang w:eastAsia="en-GB"/>
        </w:rPr>
        <w:t>” (</w:t>
      </w:r>
      <w:r w:rsidR="00864350">
        <w:rPr>
          <w:color w:val="000000"/>
          <w:lang w:eastAsia="en-GB"/>
        </w:rPr>
        <w:t xml:space="preserve">both phrases used in Mr </w:t>
      </w:r>
      <w:r w:rsidR="000B3AAE" w:rsidRPr="00864350">
        <w:rPr>
          <w:color w:val="000000"/>
          <w:lang w:eastAsia="en-GB"/>
        </w:rPr>
        <w:t>Copson’s</w:t>
      </w:r>
      <w:r w:rsidR="00864350">
        <w:rPr>
          <w:color w:val="000000"/>
          <w:lang w:eastAsia="en-GB"/>
        </w:rPr>
        <w:t xml:space="preserve"> first witness statement). </w:t>
      </w:r>
    </w:p>
    <w:p w14:paraId="7DDC66EC" w14:textId="37CA57AF" w:rsidR="003933B5" w:rsidRDefault="003933B5" w:rsidP="000768DC">
      <w:pPr>
        <w:pStyle w:val="ParaLevel1"/>
        <w:rPr>
          <w:color w:val="000000"/>
          <w:szCs w:val="24"/>
          <w:lang w:eastAsia="en-GB"/>
        </w:rPr>
      </w:pPr>
      <w:r w:rsidRPr="00E67BCA">
        <w:rPr>
          <w:color w:val="000000"/>
          <w:szCs w:val="24"/>
          <w:lang w:eastAsia="en-GB"/>
        </w:rPr>
        <w:t xml:space="preserve">The evidence adduced by the Claimants gives a rather fuller picture, however, </w:t>
      </w:r>
      <w:r w:rsidR="00DE6F91">
        <w:rPr>
          <w:color w:val="000000"/>
          <w:szCs w:val="24"/>
          <w:lang w:eastAsia="en-GB"/>
        </w:rPr>
        <w:t xml:space="preserve">with </w:t>
      </w:r>
      <w:r w:rsidR="00BF5BD4">
        <w:rPr>
          <w:color w:val="000000"/>
          <w:szCs w:val="24"/>
          <w:lang w:eastAsia="en-GB"/>
        </w:rPr>
        <w:t>Mr Copson</w:t>
      </w:r>
      <w:r w:rsidR="00DE6F91">
        <w:rPr>
          <w:color w:val="000000"/>
          <w:szCs w:val="24"/>
          <w:lang w:eastAsia="en-GB"/>
        </w:rPr>
        <w:t xml:space="preserve"> explaining </w:t>
      </w:r>
      <w:r w:rsidR="00425026" w:rsidRPr="00E67BCA">
        <w:rPr>
          <w:color w:val="000000"/>
          <w:szCs w:val="24"/>
          <w:lang w:eastAsia="en-GB"/>
        </w:rPr>
        <w:t>tha</w:t>
      </w:r>
      <w:r w:rsidR="00880EFD" w:rsidRPr="00E67BCA">
        <w:rPr>
          <w:color w:val="000000"/>
          <w:szCs w:val="24"/>
          <w:lang w:eastAsia="en-GB"/>
        </w:rPr>
        <w:t xml:space="preserve">t </w:t>
      </w:r>
      <w:r w:rsidR="00F7739E" w:rsidRPr="00E67BCA">
        <w:rPr>
          <w:color w:val="000000"/>
          <w:szCs w:val="24"/>
          <w:lang w:eastAsia="en-GB"/>
        </w:rPr>
        <w:t>by 1908 the West London Ethical Society was performing a kind of marriage ceremony in accordance with a book of ethical rituals</w:t>
      </w:r>
      <w:r w:rsidR="00EB6E07">
        <w:rPr>
          <w:color w:val="000000"/>
          <w:szCs w:val="24"/>
          <w:lang w:eastAsia="en-GB"/>
        </w:rPr>
        <w:t>,</w:t>
      </w:r>
      <w:r w:rsidR="00F7739E" w:rsidRPr="00E67BCA">
        <w:rPr>
          <w:color w:val="000000"/>
          <w:szCs w:val="24"/>
          <w:lang w:eastAsia="en-GB"/>
        </w:rPr>
        <w:t xml:space="preserve"> </w:t>
      </w:r>
      <w:r w:rsidR="007911BC" w:rsidRPr="00E67BCA">
        <w:rPr>
          <w:color w:val="000000"/>
          <w:szCs w:val="24"/>
          <w:lang w:eastAsia="en-GB"/>
        </w:rPr>
        <w:t xml:space="preserve">and </w:t>
      </w:r>
      <w:r w:rsidR="00EB6E07">
        <w:rPr>
          <w:color w:val="000000"/>
          <w:szCs w:val="24"/>
          <w:lang w:eastAsia="en-GB"/>
        </w:rPr>
        <w:t xml:space="preserve">that </w:t>
      </w:r>
      <w:r w:rsidR="007911BC" w:rsidRPr="00E67BCA">
        <w:rPr>
          <w:color w:val="000000"/>
          <w:szCs w:val="24"/>
          <w:lang w:eastAsia="en-GB"/>
        </w:rPr>
        <w:t>t</w:t>
      </w:r>
      <w:r w:rsidR="00D07B86" w:rsidRPr="00E67BCA">
        <w:rPr>
          <w:color w:val="000000"/>
          <w:szCs w:val="24"/>
          <w:lang w:eastAsia="en-GB"/>
        </w:rPr>
        <w:t xml:space="preserve">here is evidence of ethical societies performing marriages into the 1960s and 1970s.  </w:t>
      </w:r>
      <w:r w:rsidR="00256680">
        <w:rPr>
          <w:color w:val="000000"/>
          <w:szCs w:val="24"/>
          <w:lang w:eastAsia="en-GB"/>
        </w:rPr>
        <w:t xml:space="preserve">When the Ethical Union became the British Humanist Association, </w:t>
      </w:r>
      <w:r w:rsidR="00BD51A7">
        <w:rPr>
          <w:color w:val="000000"/>
          <w:szCs w:val="24"/>
          <w:lang w:eastAsia="en-GB"/>
        </w:rPr>
        <w:t xml:space="preserve">it </w:t>
      </w:r>
      <w:r w:rsidR="00194B4D">
        <w:rPr>
          <w:color w:val="000000"/>
          <w:szCs w:val="24"/>
          <w:lang w:eastAsia="en-GB"/>
        </w:rPr>
        <w:t xml:space="preserve">seems that </w:t>
      </w:r>
      <w:r w:rsidR="00BD51A7">
        <w:rPr>
          <w:color w:val="000000"/>
          <w:szCs w:val="24"/>
          <w:lang w:eastAsia="en-GB"/>
        </w:rPr>
        <w:t>a need</w:t>
      </w:r>
      <w:r w:rsidR="00997B24">
        <w:rPr>
          <w:color w:val="000000"/>
          <w:szCs w:val="24"/>
          <w:lang w:eastAsia="en-GB"/>
        </w:rPr>
        <w:t xml:space="preserve"> was identified</w:t>
      </w:r>
      <w:r w:rsidR="00BD51A7">
        <w:rPr>
          <w:color w:val="000000"/>
          <w:szCs w:val="24"/>
          <w:lang w:eastAsia="en-GB"/>
        </w:rPr>
        <w:t xml:space="preserve"> for explicitly humanist ceremonies to continue </w:t>
      </w:r>
      <w:r w:rsidR="00E435D0">
        <w:rPr>
          <w:color w:val="000000"/>
          <w:szCs w:val="24"/>
          <w:lang w:eastAsia="en-GB"/>
        </w:rPr>
        <w:t>this earlier</w:t>
      </w:r>
      <w:r w:rsidR="00DD1E98">
        <w:rPr>
          <w:color w:val="000000"/>
          <w:szCs w:val="24"/>
          <w:lang w:eastAsia="en-GB"/>
        </w:rPr>
        <w:t>, ethical society</w:t>
      </w:r>
      <w:r w:rsidR="00E435D0">
        <w:rPr>
          <w:color w:val="000000"/>
          <w:szCs w:val="24"/>
          <w:lang w:eastAsia="en-GB"/>
        </w:rPr>
        <w:t xml:space="preserve"> model</w:t>
      </w:r>
      <w:r w:rsidR="00997B24">
        <w:rPr>
          <w:color w:val="000000"/>
          <w:szCs w:val="24"/>
          <w:lang w:eastAsia="en-GB"/>
        </w:rPr>
        <w:t>,</w:t>
      </w:r>
      <w:r w:rsidR="00E435D0">
        <w:rPr>
          <w:color w:val="000000"/>
          <w:szCs w:val="24"/>
          <w:lang w:eastAsia="en-GB"/>
        </w:rPr>
        <w:t xml:space="preserve"> and </w:t>
      </w:r>
      <w:r w:rsidR="00E67BCA" w:rsidRPr="00E67BCA">
        <w:rPr>
          <w:color w:val="000000"/>
          <w:szCs w:val="24"/>
          <w:lang w:eastAsia="en-GB"/>
        </w:rPr>
        <w:t>Humanis</w:t>
      </w:r>
      <w:r w:rsidR="00425026" w:rsidRPr="00E67BCA">
        <w:rPr>
          <w:color w:val="000000"/>
          <w:szCs w:val="24"/>
          <w:lang w:eastAsia="en-GB"/>
        </w:rPr>
        <w:t xml:space="preserve">ts UK </w:t>
      </w:r>
      <w:r w:rsidR="00E67BCA">
        <w:rPr>
          <w:color w:val="000000"/>
          <w:szCs w:val="24"/>
          <w:lang w:eastAsia="en-GB"/>
        </w:rPr>
        <w:t>h</w:t>
      </w:r>
      <w:r w:rsidR="00425026" w:rsidRPr="00E67BCA">
        <w:rPr>
          <w:color w:val="000000"/>
          <w:szCs w:val="24"/>
          <w:lang w:eastAsia="en-GB"/>
        </w:rPr>
        <w:t>a</w:t>
      </w:r>
      <w:r w:rsidR="00E435D0">
        <w:rPr>
          <w:color w:val="000000"/>
          <w:szCs w:val="24"/>
          <w:lang w:eastAsia="en-GB"/>
        </w:rPr>
        <w:t xml:space="preserve">ve continued to </w:t>
      </w:r>
      <w:r w:rsidR="00425026" w:rsidRPr="00E67BCA">
        <w:rPr>
          <w:color w:val="000000"/>
          <w:szCs w:val="24"/>
          <w:lang w:eastAsia="en-GB"/>
        </w:rPr>
        <w:t>perform weddings</w:t>
      </w:r>
      <w:r w:rsidR="00E435D0">
        <w:rPr>
          <w:color w:val="000000"/>
          <w:szCs w:val="24"/>
          <w:lang w:eastAsia="en-GB"/>
        </w:rPr>
        <w:t xml:space="preserve"> (and other </w:t>
      </w:r>
      <w:r w:rsidR="00576FBD">
        <w:rPr>
          <w:color w:val="000000"/>
          <w:szCs w:val="24"/>
          <w:lang w:eastAsia="en-GB"/>
        </w:rPr>
        <w:t xml:space="preserve">ceremonies marking significant life events, including baby </w:t>
      </w:r>
      <w:proofErr w:type="spellStart"/>
      <w:r w:rsidR="00576FBD">
        <w:rPr>
          <w:color w:val="000000"/>
          <w:szCs w:val="24"/>
          <w:lang w:eastAsia="en-GB"/>
        </w:rPr>
        <w:t>namings</w:t>
      </w:r>
      <w:proofErr w:type="spellEnd"/>
      <w:r w:rsidR="00576FBD">
        <w:rPr>
          <w:color w:val="000000"/>
          <w:szCs w:val="24"/>
          <w:lang w:eastAsia="en-GB"/>
        </w:rPr>
        <w:t xml:space="preserve"> and funerals)</w:t>
      </w:r>
      <w:r w:rsidR="001E5289">
        <w:rPr>
          <w:color w:val="000000"/>
          <w:szCs w:val="24"/>
          <w:lang w:eastAsia="en-GB"/>
        </w:rPr>
        <w:t xml:space="preserve">, with some 260 celebrants who </w:t>
      </w:r>
      <w:r w:rsidR="002F306F">
        <w:rPr>
          <w:color w:val="000000"/>
          <w:szCs w:val="24"/>
          <w:lang w:eastAsia="en-GB"/>
        </w:rPr>
        <w:t>carry out over 1,000</w:t>
      </w:r>
      <w:r w:rsidR="005153F4">
        <w:rPr>
          <w:color w:val="000000"/>
          <w:szCs w:val="24"/>
          <w:lang w:eastAsia="en-GB"/>
        </w:rPr>
        <w:t xml:space="preserve"> humanist marriage ceremonies</w:t>
      </w:r>
      <w:r w:rsidR="002F306F">
        <w:rPr>
          <w:color w:val="000000"/>
          <w:szCs w:val="24"/>
          <w:lang w:eastAsia="en-GB"/>
        </w:rPr>
        <w:t xml:space="preserve"> in England and Wales each year</w:t>
      </w:r>
      <w:r w:rsidR="00D05A7E">
        <w:rPr>
          <w:color w:val="000000"/>
          <w:szCs w:val="24"/>
          <w:lang w:eastAsia="en-GB"/>
        </w:rPr>
        <w:t xml:space="preserve"> (according to </w:t>
      </w:r>
      <w:r w:rsidR="00B87654">
        <w:rPr>
          <w:color w:val="000000"/>
          <w:szCs w:val="24"/>
          <w:lang w:eastAsia="en-GB"/>
        </w:rPr>
        <w:t xml:space="preserve">information from the Office of National Statistics, this </w:t>
      </w:r>
      <w:r w:rsidR="00A76455">
        <w:rPr>
          <w:color w:val="000000"/>
          <w:szCs w:val="24"/>
          <w:lang w:eastAsia="en-GB"/>
        </w:rPr>
        <w:t>make</w:t>
      </w:r>
      <w:r w:rsidR="005934A2">
        <w:rPr>
          <w:color w:val="000000"/>
          <w:szCs w:val="24"/>
          <w:lang w:eastAsia="en-GB"/>
        </w:rPr>
        <w:t>s</w:t>
      </w:r>
      <w:r w:rsidR="00A76455">
        <w:rPr>
          <w:color w:val="000000"/>
          <w:szCs w:val="24"/>
          <w:lang w:eastAsia="en-GB"/>
        </w:rPr>
        <w:t xml:space="preserve"> Humanists UK the fifth largest provider of </w:t>
      </w:r>
      <w:r w:rsidR="004900A4">
        <w:rPr>
          <w:color w:val="000000"/>
          <w:szCs w:val="24"/>
          <w:lang w:eastAsia="en-GB"/>
        </w:rPr>
        <w:t xml:space="preserve">religious or belief-based wedding ceremonies, after the Church of England, the Roman Catholic Church, the Church in Wales and the Methodist Church). </w:t>
      </w:r>
      <w:r w:rsidR="008B1E4D">
        <w:rPr>
          <w:color w:val="000000"/>
          <w:szCs w:val="24"/>
          <w:lang w:eastAsia="en-GB"/>
        </w:rPr>
        <w:t xml:space="preserve"> As for the “</w:t>
      </w:r>
      <w:r w:rsidR="008B1E4D" w:rsidRPr="008B1E4D">
        <w:rPr>
          <w:i/>
          <w:iCs/>
          <w:color w:val="000000"/>
          <w:szCs w:val="24"/>
          <w:lang w:eastAsia="en-GB"/>
        </w:rPr>
        <w:t>Usages</w:t>
      </w:r>
      <w:r w:rsidR="008B1E4D">
        <w:rPr>
          <w:color w:val="000000"/>
          <w:szCs w:val="24"/>
          <w:lang w:eastAsia="en-GB"/>
        </w:rPr>
        <w:t xml:space="preserve">” document, Mr Copson explains that this </w:t>
      </w:r>
      <w:r w:rsidR="00667368">
        <w:rPr>
          <w:color w:val="000000"/>
          <w:szCs w:val="24"/>
          <w:lang w:eastAsia="en-GB"/>
        </w:rPr>
        <w:t xml:space="preserve">was created at the prompting of </w:t>
      </w:r>
      <w:r w:rsidR="00BF1C6D">
        <w:rPr>
          <w:color w:val="000000"/>
          <w:szCs w:val="24"/>
          <w:lang w:eastAsia="en-GB"/>
        </w:rPr>
        <w:t>G</w:t>
      </w:r>
      <w:r w:rsidR="00667368">
        <w:rPr>
          <w:color w:val="000000"/>
          <w:szCs w:val="24"/>
          <w:lang w:eastAsia="en-GB"/>
        </w:rPr>
        <w:t xml:space="preserve">overnment officials </w:t>
      </w:r>
      <w:r w:rsidR="00850E29">
        <w:rPr>
          <w:color w:val="000000"/>
          <w:szCs w:val="24"/>
          <w:lang w:eastAsia="en-GB"/>
        </w:rPr>
        <w:t>shortly after the passage of the Marriage (Same-Sex Couples) Act 2013</w:t>
      </w:r>
      <w:r w:rsidR="0054714A">
        <w:rPr>
          <w:color w:val="000000"/>
          <w:szCs w:val="24"/>
          <w:lang w:eastAsia="en-GB"/>
        </w:rPr>
        <w:t xml:space="preserve">, but was </w:t>
      </w:r>
      <w:r w:rsidR="00DE6085">
        <w:rPr>
          <w:color w:val="000000"/>
          <w:szCs w:val="24"/>
          <w:lang w:eastAsia="en-GB"/>
        </w:rPr>
        <w:t xml:space="preserve">compiled from existing sources; it contained nothing new but </w:t>
      </w:r>
      <w:r w:rsidR="00570437">
        <w:rPr>
          <w:color w:val="000000"/>
          <w:szCs w:val="24"/>
          <w:lang w:eastAsia="en-GB"/>
        </w:rPr>
        <w:t xml:space="preserve">brought together the long-standing customs and practices of humanist weddings </w:t>
      </w:r>
      <w:r w:rsidR="00CB27CC">
        <w:rPr>
          <w:color w:val="000000"/>
          <w:szCs w:val="24"/>
          <w:lang w:eastAsia="en-GB"/>
        </w:rPr>
        <w:t>into a document bearing a title long used in marriage law</w:t>
      </w:r>
      <w:r w:rsidR="001E09D7">
        <w:rPr>
          <w:color w:val="000000"/>
          <w:szCs w:val="24"/>
          <w:lang w:eastAsia="en-GB"/>
        </w:rPr>
        <w:t xml:space="preserve"> and repeated in the</w:t>
      </w:r>
      <w:r w:rsidR="000F04D2">
        <w:rPr>
          <w:color w:val="000000"/>
          <w:szCs w:val="24"/>
          <w:lang w:eastAsia="en-GB"/>
        </w:rPr>
        <w:t xml:space="preserve"> relevant legislation</w:t>
      </w:r>
      <w:r w:rsidR="001E09D7">
        <w:rPr>
          <w:color w:val="000000"/>
          <w:szCs w:val="24"/>
          <w:lang w:eastAsia="en-GB"/>
        </w:rPr>
        <w:t xml:space="preserve">. </w:t>
      </w:r>
    </w:p>
    <w:p w14:paraId="1257D06A" w14:textId="265CA208" w:rsidR="00455988" w:rsidRDefault="00DE6F91" w:rsidP="000768DC">
      <w:pPr>
        <w:pStyle w:val="ParaLevel1"/>
        <w:rPr>
          <w:color w:val="000000"/>
          <w:szCs w:val="24"/>
          <w:lang w:eastAsia="en-GB"/>
        </w:rPr>
      </w:pPr>
      <w:r>
        <w:rPr>
          <w:color w:val="000000"/>
          <w:szCs w:val="24"/>
          <w:lang w:eastAsia="en-GB"/>
        </w:rPr>
        <w:t>Cel</w:t>
      </w:r>
      <w:r w:rsidR="004F1947">
        <w:rPr>
          <w:color w:val="000000"/>
          <w:szCs w:val="24"/>
          <w:lang w:eastAsia="en-GB"/>
        </w:rPr>
        <w:t>ebrants, such as Ms Zena Birch</w:t>
      </w:r>
      <w:r w:rsidR="00E474AB">
        <w:rPr>
          <w:color w:val="000000"/>
          <w:szCs w:val="24"/>
          <w:lang w:eastAsia="en-GB"/>
        </w:rPr>
        <w:t xml:space="preserve"> (Chair of the Humanist Ceremonies Board)</w:t>
      </w:r>
      <w:r w:rsidR="004F1947">
        <w:rPr>
          <w:color w:val="000000"/>
          <w:szCs w:val="24"/>
          <w:lang w:eastAsia="en-GB"/>
        </w:rPr>
        <w:t xml:space="preserve">, have also given evidence explaining </w:t>
      </w:r>
      <w:r w:rsidR="007F04AE">
        <w:rPr>
          <w:color w:val="000000"/>
          <w:szCs w:val="24"/>
          <w:lang w:eastAsia="en-GB"/>
        </w:rPr>
        <w:t>how</w:t>
      </w:r>
      <w:r w:rsidR="004F1947">
        <w:rPr>
          <w:color w:val="000000"/>
          <w:szCs w:val="24"/>
          <w:lang w:eastAsia="en-GB"/>
        </w:rPr>
        <w:t xml:space="preserve"> humanist weddings </w:t>
      </w:r>
      <w:r w:rsidR="007F04AE">
        <w:rPr>
          <w:color w:val="000000"/>
          <w:szCs w:val="24"/>
          <w:lang w:eastAsia="en-GB"/>
        </w:rPr>
        <w:t>can be</w:t>
      </w:r>
      <w:r w:rsidR="004F1947">
        <w:rPr>
          <w:color w:val="000000"/>
          <w:szCs w:val="24"/>
          <w:lang w:eastAsia="en-GB"/>
        </w:rPr>
        <w:t xml:space="preserve"> a celebration of humanist values</w:t>
      </w:r>
      <w:r w:rsidR="0056218B">
        <w:rPr>
          <w:color w:val="000000"/>
          <w:szCs w:val="24"/>
          <w:lang w:eastAsia="en-GB"/>
        </w:rPr>
        <w:t xml:space="preserve">.  </w:t>
      </w:r>
      <w:r w:rsidR="00C8340B">
        <w:rPr>
          <w:color w:val="000000"/>
          <w:szCs w:val="24"/>
          <w:lang w:eastAsia="en-GB"/>
        </w:rPr>
        <w:t>I</w:t>
      </w:r>
      <w:r w:rsidR="006B51C7" w:rsidRPr="00EA6008">
        <w:rPr>
          <w:color w:val="000000"/>
          <w:szCs w:val="24"/>
          <w:lang w:eastAsia="en-GB"/>
        </w:rPr>
        <w:t xml:space="preserve">t is Ms Birch’s evidence that </w:t>
      </w:r>
      <w:r w:rsidR="00C25436" w:rsidRPr="00EA6008">
        <w:rPr>
          <w:color w:val="000000"/>
          <w:szCs w:val="24"/>
          <w:lang w:eastAsia="en-GB"/>
        </w:rPr>
        <w:t xml:space="preserve">ceremonies that mark significant life events, including marriage, </w:t>
      </w:r>
      <w:r w:rsidR="007F5714">
        <w:rPr>
          <w:color w:val="000000"/>
          <w:szCs w:val="24"/>
          <w:lang w:eastAsia="en-GB"/>
        </w:rPr>
        <w:t xml:space="preserve">enable humanists to express </w:t>
      </w:r>
      <w:r w:rsidR="005F2FA2">
        <w:rPr>
          <w:color w:val="000000"/>
          <w:szCs w:val="24"/>
          <w:lang w:eastAsia="en-GB"/>
        </w:rPr>
        <w:t>their beliefs in a meaningful way</w:t>
      </w:r>
      <w:r w:rsidR="00B40EA7">
        <w:rPr>
          <w:color w:val="000000"/>
          <w:szCs w:val="24"/>
          <w:lang w:eastAsia="en-GB"/>
        </w:rPr>
        <w:t xml:space="preserve">.  </w:t>
      </w:r>
      <w:r w:rsidR="00AC19D3">
        <w:rPr>
          <w:color w:val="000000"/>
          <w:szCs w:val="24"/>
          <w:lang w:eastAsia="en-GB"/>
        </w:rPr>
        <w:t xml:space="preserve">Specifically, Ms Birch </w:t>
      </w:r>
      <w:r w:rsidR="005A39AD">
        <w:rPr>
          <w:color w:val="000000"/>
          <w:szCs w:val="24"/>
          <w:lang w:eastAsia="en-GB"/>
        </w:rPr>
        <w:t>(to whose statement the document “</w:t>
      </w:r>
      <w:r w:rsidR="005A39AD" w:rsidRPr="000E6AE6">
        <w:rPr>
          <w:i/>
          <w:iCs/>
          <w:color w:val="000000"/>
          <w:szCs w:val="24"/>
          <w:lang w:eastAsia="en-GB"/>
        </w:rPr>
        <w:t>Usages for humanist marriages</w:t>
      </w:r>
      <w:r w:rsidR="005A39AD">
        <w:rPr>
          <w:color w:val="000000"/>
          <w:szCs w:val="24"/>
          <w:lang w:eastAsia="en-GB"/>
        </w:rPr>
        <w:t xml:space="preserve">” is attached) </w:t>
      </w:r>
      <w:r w:rsidR="00AC19D3">
        <w:rPr>
          <w:color w:val="000000"/>
          <w:szCs w:val="24"/>
          <w:lang w:eastAsia="en-GB"/>
        </w:rPr>
        <w:t xml:space="preserve">points to the connections between the usages </w:t>
      </w:r>
      <w:r w:rsidR="0095467B">
        <w:rPr>
          <w:color w:val="000000"/>
          <w:szCs w:val="24"/>
          <w:lang w:eastAsia="en-GB"/>
        </w:rPr>
        <w:t>for humanist wedding ceremonies and the humanist beliefs of the participants</w:t>
      </w:r>
      <w:r w:rsidR="000E6AE6">
        <w:rPr>
          <w:color w:val="000000"/>
          <w:szCs w:val="24"/>
          <w:lang w:eastAsia="en-GB"/>
        </w:rPr>
        <w:t>.  F</w:t>
      </w:r>
      <w:r w:rsidR="00323E0E">
        <w:rPr>
          <w:color w:val="000000"/>
          <w:szCs w:val="24"/>
          <w:lang w:eastAsia="en-GB"/>
        </w:rPr>
        <w:t xml:space="preserve">or example, </w:t>
      </w:r>
      <w:r w:rsidR="00B308E3">
        <w:rPr>
          <w:color w:val="000000"/>
          <w:szCs w:val="24"/>
          <w:lang w:eastAsia="en-GB"/>
        </w:rPr>
        <w:t>the</w:t>
      </w:r>
      <w:r w:rsidR="000E6AE6">
        <w:rPr>
          <w:color w:val="000000"/>
          <w:szCs w:val="24"/>
          <w:lang w:eastAsia="en-GB"/>
        </w:rPr>
        <w:t xml:space="preserve"> ceremony must include</w:t>
      </w:r>
      <w:r w:rsidR="00B308E3">
        <w:rPr>
          <w:color w:val="000000"/>
          <w:szCs w:val="24"/>
          <w:lang w:eastAsia="en-GB"/>
        </w:rPr>
        <w:t xml:space="preserve"> a preamble from a trained and accredited Humanists UK celebrant </w:t>
      </w:r>
      <w:r w:rsidR="000922D2">
        <w:rPr>
          <w:color w:val="000000"/>
          <w:szCs w:val="24"/>
          <w:lang w:eastAsia="en-GB"/>
        </w:rPr>
        <w:t>that gives a brief but explicit description of humanist beliefs</w:t>
      </w:r>
      <w:r w:rsidR="0094148D">
        <w:rPr>
          <w:color w:val="000000"/>
          <w:szCs w:val="24"/>
          <w:lang w:eastAsia="en-GB"/>
        </w:rPr>
        <w:t xml:space="preserve"> (see “</w:t>
      </w:r>
      <w:r w:rsidR="0094148D" w:rsidRPr="00C44ADC">
        <w:rPr>
          <w:i/>
          <w:iCs/>
          <w:color w:val="000000"/>
          <w:szCs w:val="24"/>
          <w:lang w:eastAsia="en-GB"/>
        </w:rPr>
        <w:t>Usages for humanist marriages</w:t>
      </w:r>
      <w:r w:rsidR="0094148D">
        <w:rPr>
          <w:color w:val="000000"/>
          <w:szCs w:val="24"/>
          <w:lang w:eastAsia="en-GB"/>
        </w:rPr>
        <w:t>” point 2</w:t>
      </w:r>
      <w:r w:rsidR="00C44ADC">
        <w:rPr>
          <w:color w:val="000000"/>
          <w:szCs w:val="24"/>
          <w:lang w:eastAsia="en-GB"/>
        </w:rPr>
        <w:t>. c.)</w:t>
      </w:r>
      <w:r w:rsidR="004C3787">
        <w:rPr>
          <w:color w:val="000000"/>
          <w:szCs w:val="24"/>
          <w:lang w:eastAsia="en-GB"/>
        </w:rPr>
        <w:t xml:space="preserve">, and that celebrant will be required, </w:t>
      </w:r>
      <w:r w:rsidR="005C4615">
        <w:rPr>
          <w:color w:val="000000"/>
          <w:szCs w:val="24"/>
          <w:lang w:eastAsia="en-GB"/>
        </w:rPr>
        <w:t>often over several months,</w:t>
      </w:r>
      <w:r w:rsidR="006E5765">
        <w:rPr>
          <w:color w:val="000000"/>
          <w:szCs w:val="24"/>
          <w:lang w:eastAsia="en-GB"/>
        </w:rPr>
        <w:t xml:space="preserve"> </w:t>
      </w:r>
      <w:r w:rsidR="00C169F1">
        <w:rPr>
          <w:color w:val="000000"/>
          <w:szCs w:val="24"/>
          <w:lang w:eastAsia="en-GB"/>
        </w:rPr>
        <w:t xml:space="preserve">to get to know the couple </w:t>
      </w:r>
      <w:r w:rsidR="005C4615">
        <w:rPr>
          <w:color w:val="000000"/>
          <w:szCs w:val="24"/>
          <w:lang w:eastAsia="en-GB"/>
        </w:rPr>
        <w:t>and to devise a ceremony that is individual to them</w:t>
      </w:r>
      <w:r w:rsidR="004C3787">
        <w:rPr>
          <w:color w:val="000000"/>
          <w:szCs w:val="24"/>
          <w:lang w:eastAsia="en-GB"/>
        </w:rPr>
        <w:t>,</w:t>
      </w:r>
      <w:r w:rsidR="005C4615">
        <w:rPr>
          <w:color w:val="000000"/>
          <w:szCs w:val="24"/>
          <w:lang w:eastAsia="en-GB"/>
        </w:rPr>
        <w:t xml:space="preserve"> </w:t>
      </w:r>
      <w:r w:rsidR="007143CE">
        <w:rPr>
          <w:color w:val="000000"/>
          <w:szCs w:val="24"/>
          <w:lang w:eastAsia="en-GB"/>
        </w:rPr>
        <w:lastRenderedPageBreak/>
        <w:t>reflecting the value humanism p</w:t>
      </w:r>
      <w:r w:rsidR="009C0B0B">
        <w:rPr>
          <w:color w:val="000000"/>
          <w:szCs w:val="24"/>
          <w:lang w:eastAsia="en-GB"/>
        </w:rPr>
        <w:t>lace</w:t>
      </w:r>
      <w:r w:rsidR="007143CE">
        <w:rPr>
          <w:color w:val="000000"/>
          <w:szCs w:val="24"/>
          <w:lang w:eastAsia="en-GB"/>
        </w:rPr>
        <w:t>s on the individual person</w:t>
      </w:r>
      <w:r w:rsidR="00C44ADC">
        <w:rPr>
          <w:color w:val="000000"/>
          <w:szCs w:val="24"/>
          <w:lang w:eastAsia="en-GB"/>
        </w:rPr>
        <w:t xml:space="preserve"> (“</w:t>
      </w:r>
      <w:r w:rsidR="00C44ADC" w:rsidRPr="00661118">
        <w:rPr>
          <w:i/>
          <w:iCs/>
          <w:color w:val="000000"/>
          <w:szCs w:val="24"/>
          <w:lang w:eastAsia="en-GB"/>
        </w:rPr>
        <w:t>Usages for humanist marriages</w:t>
      </w:r>
      <w:r w:rsidR="00661118">
        <w:rPr>
          <w:color w:val="000000"/>
          <w:szCs w:val="24"/>
          <w:lang w:eastAsia="en-GB"/>
        </w:rPr>
        <w:t>”</w:t>
      </w:r>
      <w:r w:rsidR="00C44ADC">
        <w:rPr>
          <w:color w:val="000000"/>
          <w:szCs w:val="24"/>
          <w:lang w:eastAsia="en-GB"/>
        </w:rPr>
        <w:t xml:space="preserve"> </w:t>
      </w:r>
      <w:r w:rsidR="00661118">
        <w:rPr>
          <w:color w:val="000000"/>
          <w:szCs w:val="24"/>
          <w:lang w:eastAsia="en-GB"/>
        </w:rPr>
        <w:t>point 1)</w:t>
      </w:r>
      <w:r w:rsidR="00323E0E">
        <w:rPr>
          <w:color w:val="000000"/>
          <w:szCs w:val="24"/>
          <w:lang w:eastAsia="en-GB"/>
        </w:rPr>
        <w:t>.</w:t>
      </w:r>
      <w:r w:rsidR="004A0A11">
        <w:rPr>
          <w:color w:val="000000"/>
          <w:szCs w:val="24"/>
          <w:lang w:eastAsia="en-GB"/>
        </w:rPr>
        <w:t xml:space="preserve"> </w:t>
      </w:r>
      <w:r w:rsidR="00487EE1">
        <w:rPr>
          <w:color w:val="000000"/>
          <w:szCs w:val="24"/>
          <w:lang w:eastAsia="en-GB"/>
        </w:rPr>
        <w:t xml:space="preserve"> </w:t>
      </w:r>
      <w:r w:rsidR="00CB241A">
        <w:rPr>
          <w:color w:val="000000"/>
          <w:szCs w:val="24"/>
          <w:lang w:eastAsia="en-GB"/>
        </w:rPr>
        <w:t xml:space="preserve">The </w:t>
      </w:r>
      <w:r w:rsidR="00872064">
        <w:rPr>
          <w:color w:val="000000"/>
          <w:szCs w:val="24"/>
          <w:lang w:eastAsia="en-GB"/>
        </w:rPr>
        <w:t>marriage</w:t>
      </w:r>
      <w:r w:rsidR="00CB241A">
        <w:rPr>
          <w:color w:val="000000"/>
          <w:szCs w:val="24"/>
          <w:lang w:eastAsia="en-GB"/>
        </w:rPr>
        <w:t xml:space="preserve"> can occur in any location that is important or meaningful to the couple (</w:t>
      </w:r>
      <w:r w:rsidR="00C6050E">
        <w:rPr>
          <w:color w:val="000000"/>
          <w:szCs w:val="24"/>
          <w:lang w:eastAsia="en-GB"/>
        </w:rPr>
        <w:t>“</w:t>
      </w:r>
      <w:r w:rsidR="00E13AF2" w:rsidRPr="00C6050E">
        <w:rPr>
          <w:i/>
          <w:iCs/>
          <w:color w:val="000000"/>
          <w:szCs w:val="24"/>
          <w:lang w:eastAsia="en-GB"/>
        </w:rPr>
        <w:t>Usages for humanist marriages</w:t>
      </w:r>
      <w:r w:rsidR="00C6050E">
        <w:rPr>
          <w:i/>
          <w:iCs/>
          <w:color w:val="000000"/>
          <w:szCs w:val="24"/>
          <w:lang w:eastAsia="en-GB"/>
        </w:rPr>
        <w:t>”</w:t>
      </w:r>
      <w:r w:rsidR="00E13AF2">
        <w:rPr>
          <w:color w:val="000000"/>
          <w:szCs w:val="24"/>
          <w:lang w:eastAsia="en-GB"/>
        </w:rPr>
        <w:t xml:space="preserve"> point 2. b.)</w:t>
      </w:r>
      <w:r w:rsidR="000C55A8">
        <w:rPr>
          <w:color w:val="000000"/>
          <w:szCs w:val="24"/>
          <w:lang w:eastAsia="en-GB"/>
        </w:rPr>
        <w:t xml:space="preserve"> and </w:t>
      </w:r>
      <w:r w:rsidR="00785AA0">
        <w:rPr>
          <w:color w:val="000000"/>
          <w:szCs w:val="24"/>
          <w:lang w:eastAsia="en-GB"/>
        </w:rPr>
        <w:t>it is explicitly stated that</w:t>
      </w:r>
      <w:r w:rsidR="00455988">
        <w:rPr>
          <w:color w:val="000000"/>
          <w:szCs w:val="24"/>
          <w:lang w:eastAsia="en-GB"/>
        </w:rPr>
        <w:t xml:space="preserve"> a humanist ceremony will reflect humanist beliefs: </w:t>
      </w:r>
    </w:p>
    <w:p w14:paraId="15D48185" w14:textId="3C6AB5A8" w:rsidR="00785AA0" w:rsidRDefault="00E24306" w:rsidP="000768DC">
      <w:pPr>
        <w:pStyle w:val="Quote"/>
        <w:rPr>
          <w:lang w:eastAsia="en-GB"/>
        </w:rPr>
      </w:pPr>
      <w:r>
        <w:rPr>
          <w:lang w:eastAsia="en-GB"/>
        </w:rPr>
        <w:t>“</w:t>
      </w:r>
      <w:r w:rsidR="00455988">
        <w:rPr>
          <w:lang w:eastAsia="en-GB"/>
        </w:rPr>
        <w:t xml:space="preserve">2. a. </w:t>
      </w:r>
      <w:r>
        <w:rPr>
          <w:lang w:eastAsia="en-GB"/>
        </w:rPr>
        <w:t>… Humanists believe that, in the absence of ultimate meaning and purpose to the universe, it is human beings that create and sustain meaning.  At no time is this more evident than in rites of passage.  Humanist ceremonies are distinguished by (</w:t>
      </w:r>
      <w:proofErr w:type="spellStart"/>
      <w:r>
        <w:rPr>
          <w:lang w:eastAsia="en-GB"/>
        </w:rPr>
        <w:t>i</w:t>
      </w:r>
      <w:proofErr w:type="spellEnd"/>
      <w:r>
        <w:rPr>
          <w:lang w:eastAsia="en-GB"/>
        </w:rPr>
        <w:t>) being individually personalised to be meaningful to the couple involved and (ii) containing no acts of religious worship.”</w:t>
      </w:r>
    </w:p>
    <w:p w14:paraId="47D85AEA" w14:textId="7227F244" w:rsidR="005F2FA2" w:rsidRDefault="00882D12" w:rsidP="000768DC">
      <w:pPr>
        <w:pStyle w:val="ParaLevel1"/>
        <w:rPr>
          <w:color w:val="000000"/>
          <w:szCs w:val="24"/>
          <w:lang w:eastAsia="en-GB"/>
        </w:rPr>
      </w:pPr>
      <w:r>
        <w:rPr>
          <w:color w:val="000000"/>
          <w:szCs w:val="24"/>
          <w:lang w:eastAsia="en-GB"/>
        </w:rPr>
        <w:t>A</w:t>
      </w:r>
      <w:r w:rsidR="00487EE1">
        <w:rPr>
          <w:color w:val="000000"/>
          <w:szCs w:val="24"/>
          <w:lang w:eastAsia="en-GB"/>
        </w:rPr>
        <w:t>lthough</w:t>
      </w:r>
      <w:r>
        <w:rPr>
          <w:color w:val="000000"/>
          <w:szCs w:val="24"/>
          <w:lang w:eastAsia="en-GB"/>
        </w:rPr>
        <w:t xml:space="preserve">, therefore, </w:t>
      </w:r>
      <w:r w:rsidR="001947E9">
        <w:rPr>
          <w:color w:val="000000"/>
          <w:szCs w:val="24"/>
          <w:lang w:eastAsia="en-GB"/>
        </w:rPr>
        <w:t xml:space="preserve">it is accepted that the humanist marriage ceremony </w:t>
      </w:r>
      <w:r>
        <w:rPr>
          <w:color w:val="000000"/>
          <w:szCs w:val="24"/>
          <w:lang w:eastAsia="en-GB"/>
        </w:rPr>
        <w:t xml:space="preserve">will </w:t>
      </w:r>
      <w:r w:rsidR="001947E9">
        <w:rPr>
          <w:color w:val="000000"/>
          <w:szCs w:val="24"/>
          <w:lang w:eastAsia="en-GB"/>
        </w:rPr>
        <w:t xml:space="preserve">offer great flexibility to participants, </w:t>
      </w:r>
      <w:r>
        <w:rPr>
          <w:color w:val="000000"/>
          <w:szCs w:val="24"/>
          <w:lang w:eastAsia="en-GB"/>
        </w:rPr>
        <w:t xml:space="preserve">as </w:t>
      </w:r>
      <w:r w:rsidR="001947E9">
        <w:rPr>
          <w:color w:val="000000"/>
          <w:szCs w:val="24"/>
          <w:lang w:eastAsia="en-GB"/>
        </w:rPr>
        <w:t>Ms Birch explains this is</w:t>
      </w:r>
      <w:r w:rsidR="00150EB1">
        <w:rPr>
          <w:color w:val="000000"/>
          <w:szCs w:val="24"/>
          <w:lang w:eastAsia="en-GB"/>
        </w:rPr>
        <w:t xml:space="preserve">, of itself, something that </w:t>
      </w:r>
      <w:proofErr w:type="gramStart"/>
      <w:r w:rsidR="00150EB1">
        <w:rPr>
          <w:color w:val="000000"/>
          <w:szCs w:val="24"/>
          <w:lang w:eastAsia="en-GB"/>
        </w:rPr>
        <w:t>is</w:t>
      </w:r>
      <w:r w:rsidR="00386DB6">
        <w:rPr>
          <w:color w:val="000000"/>
          <w:szCs w:val="24"/>
          <w:lang w:eastAsia="en-GB"/>
        </w:rPr>
        <w:t xml:space="preserve"> seen as</w:t>
      </w:r>
      <w:proofErr w:type="gramEnd"/>
      <w:r w:rsidR="001947E9">
        <w:rPr>
          <w:color w:val="000000"/>
          <w:szCs w:val="24"/>
          <w:lang w:eastAsia="en-GB"/>
        </w:rPr>
        <w:t xml:space="preserve"> </w:t>
      </w:r>
      <w:r w:rsidR="00386DB6">
        <w:rPr>
          <w:color w:val="000000"/>
          <w:szCs w:val="24"/>
          <w:lang w:eastAsia="en-GB"/>
        </w:rPr>
        <w:t>being</w:t>
      </w:r>
      <w:r w:rsidR="001947E9">
        <w:rPr>
          <w:color w:val="000000"/>
          <w:szCs w:val="24"/>
          <w:lang w:eastAsia="en-GB"/>
        </w:rPr>
        <w:t xml:space="preserve"> </w:t>
      </w:r>
      <w:r w:rsidR="00B44420">
        <w:rPr>
          <w:color w:val="000000"/>
          <w:szCs w:val="24"/>
          <w:lang w:eastAsia="en-GB"/>
        </w:rPr>
        <w:t xml:space="preserve">a manifestation of humanist belief in </w:t>
      </w:r>
      <w:r w:rsidR="00463ACA">
        <w:rPr>
          <w:color w:val="000000"/>
          <w:szCs w:val="24"/>
          <w:lang w:eastAsia="en-GB"/>
        </w:rPr>
        <w:t xml:space="preserve">the individual’s </w:t>
      </w:r>
      <w:r w:rsidR="00B44420">
        <w:rPr>
          <w:color w:val="000000"/>
          <w:szCs w:val="24"/>
          <w:lang w:eastAsia="en-GB"/>
        </w:rPr>
        <w:t xml:space="preserve">freedom of choice. </w:t>
      </w:r>
    </w:p>
    <w:p w14:paraId="717BF2AB" w14:textId="4C271670" w:rsidR="00FD0ACF" w:rsidRPr="009E4EDC" w:rsidRDefault="00FD0ACF" w:rsidP="000768DC">
      <w:pPr>
        <w:pStyle w:val="ParaLevel1"/>
        <w:numPr>
          <w:ilvl w:val="0"/>
          <w:numId w:val="0"/>
        </w:numPr>
        <w:rPr>
          <w:b/>
          <w:bCs/>
          <w:szCs w:val="24"/>
        </w:rPr>
      </w:pPr>
      <w:bookmarkStart w:id="7" w:name="the_claimants"/>
      <w:r w:rsidRPr="009E4EDC">
        <w:rPr>
          <w:b/>
          <w:bCs/>
          <w:szCs w:val="24"/>
        </w:rPr>
        <w:t>The Claimants</w:t>
      </w:r>
      <w:bookmarkEnd w:id="7"/>
    </w:p>
    <w:p w14:paraId="45640834" w14:textId="3F5AE4E0" w:rsidR="009F424F" w:rsidRDefault="002C7613" w:rsidP="000768DC">
      <w:pPr>
        <w:pStyle w:val="ParaLevel1"/>
        <w:rPr>
          <w:szCs w:val="24"/>
        </w:rPr>
      </w:pPr>
      <w:r>
        <w:t xml:space="preserve">Having addressed the relationship between humanism and marriage in general terms, I now turn to the </w:t>
      </w:r>
      <w:proofErr w:type="gramStart"/>
      <w:r>
        <w:t xml:space="preserve">particular </w:t>
      </w:r>
      <w:r w:rsidR="003011C2">
        <w:t>circumstances</w:t>
      </w:r>
      <w:proofErr w:type="gramEnd"/>
      <w:r w:rsidR="003011C2">
        <w:t xml:space="preserve"> of the Claimants.  The claim is brought by </w:t>
      </w:r>
      <w:r w:rsidR="006B0F05" w:rsidRPr="009E4EDC">
        <w:rPr>
          <w:szCs w:val="24"/>
        </w:rPr>
        <w:t xml:space="preserve">six couples, as follows: Ms Kate Harrison and Mr Christopher Sanderson (“Couple One”); Ms Victoria </w:t>
      </w:r>
      <w:proofErr w:type="spellStart"/>
      <w:r w:rsidR="006B0F05" w:rsidRPr="009E4EDC">
        <w:rPr>
          <w:szCs w:val="24"/>
        </w:rPr>
        <w:t>Hosegood</w:t>
      </w:r>
      <w:proofErr w:type="spellEnd"/>
      <w:r w:rsidR="006B0F05" w:rsidRPr="009E4EDC">
        <w:rPr>
          <w:szCs w:val="24"/>
        </w:rPr>
        <w:t xml:space="preserve"> and Mr Charli </w:t>
      </w:r>
      <w:proofErr w:type="spellStart"/>
      <w:r w:rsidR="006B0F05" w:rsidRPr="009E4EDC">
        <w:rPr>
          <w:szCs w:val="24"/>
        </w:rPr>
        <w:t>Janeway</w:t>
      </w:r>
      <w:proofErr w:type="spellEnd"/>
      <w:r w:rsidR="006B0F05" w:rsidRPr="009E4EDC">
        <w:rPr>
          <w:szCs w:val="24"/>
        </w:rPr>
        <w:t xml:space="preserve"> (“Couple Two”); </w:t>
      </w:r>
      <w:r w:rsidR="000D4CFF" w:rsidRPr="009E4EDC">
        <w:rPr>
          <w:szCs w:val="24"/>
        </w:rPr>
        <w:t xml:space="preserve">Ms Capella </w:t>
      </w:r>
      <w:proofErr w:type="spellStart"/>
      <w:r w:rsidR="000D4CFF" w:rsidRPr="009E4EDC">
        <w:rPr>
          <w:szCs w:val="24"/>
        </w:rPr>
        <w:t>Rew</w:t>
      </w:r>
      <w:proofErr w:type="spellEnd"/>
      <w:r w:rsidR="000D4CFF" w:rsidRPr="009E4EDC">
        <w:rPr>
          <w:szCs w:val="24"/>
        </w:rPr>
        <w:t xml:space="preserve"> and Mr Daniel </w:t>
      </w:r>
      <w:proofErr w:type="spellStart"/>
      <w:r w:rsidR="000D4CFF" w:rsidRPr="009E4EDC">
        <w:rPr>
          <w:szCs w:val="24"/>
        </w:rPr>
        <w:t>Meakin</w:t>
      </w:r>
      <w:proofErr w:type="spellEnd"/>
      <w:r w:rsidR="000D4CFF" w:rsidRPr="009E4EDC">
        <w:rPr>
          <w:szCs w:val="24"/>
        </w:rPr>
        <w:t xml:space="preserve"> (“Couple Three”); Ms Jennifer </w:t>
      </w:r>
      <w:proofErr w:type="spellStart"/>
      <w:r w:rsidR="000D4CFF" w:rsidRPr="009E4EDC">
        <w:rPr>
          <w:szCs w:val="24"/>
        </w:rPr>
        <w:t>McCalmont</w:t>
      </w:r>
      <w:proofErr w:type="spellEnd"/>
      <w:r w:rsidR="000D4CFF" w:rsidRPr="009E4EDC">
        <w:rPr>
          <w:szCs w:val="24"/>
        </w:rPr>
        <w:t xml:space="preserve"> and Mr </w:t>
      </w:r>
      <w:proofErr w:type="spellStart"/>
      <w:r w:rsidR="000D4CFF" w:rsidRPr="009E4EDC">
        <w:rPr>
          <w:szCs w:val="24"/>
        </w:rPr>
        <w:t>Finbar</w:t>
      </w:r>
      <w:proofErr w:type="spellEnd"/>
      <w:r w:rsidR="000D4CFF" w:rsidRPr="009E4EDC">
        <w:rPr>
          <w:szCs w:val="24"/>
        </w:rPr>
        <w:t xml:space="preserve"> Graham (“Couple Four”); Ms Frances Greaney and Mr </w:t>
      </w:r>
      <w:proofErr w:type="spellStart"/>
      <w:r w:rsidR="000D4CFF" w:rsidRPr="009E4EDC">
        <w:rPr>
          <w:szCs w:val="24"/>
        </w:rPr>
        <w:t>Dei</w:t>
      </w:r>
      <w:r w:rsidR="00036143" w:rsidRPr="009E4EDC">
        <w:rPr>
          <w:szCs w:val="24"/>
        </w:rPr>
        <w:t>niol</w:t>
      </w:r>
      <w:proofErr w:type="spellEnd"/>
      <w:r w:rsidR="00036143" w:rsidRPr="009E4EDC">
        <w:rPr>
          <w:szCs w:val="24"/>
        </w:rPr>
        <w:t xml:space="preserve"> Worsley</w:t>
      </w:r>
      <w:r w:rsidR="00B67ADB">
        <w:rPr>
          <w:szCs w:val="24"/>
        </w:rPr>
        <w:t xml:space="preserve"> </w:t>
      </w:r>
      <w:r w:rsidR="00036143" w:rsidRPr="009E4EDC">
        <w:rPr>
          <w:szCs w:val="24"/>
        </w:rPr>
        <w:t xml:space="preserve">Davies (“Couple Five”); and Ms Lucy Penny and Mr Dan Bradley (“Couple Six”). </w:t>
      </w:r>
    </w:p>
    <w:p w14:paraId="1FE5C5B4" w14:textId="0EB7452F" w:rsidR="00583878" w:rsidRDefault="003011C2" w:rsidP="000768DC">
      <w:pPr>
        <w:pStyle w:val="ParaLevel1"/>
      </w:pPr>
      <w:r>
        <w:t xml:space="preserve">Couple One.  </w:t>
      </w:r>
      <w:r w:rsidR="00F83CBE" w:rsidRPr="00F83CBE">
        <w:t>Ms Harrison</w:t>
      </w:r>
      <w:r>
        <w:t xml:space="preserve"> </w:t>
      </w:r>
      <w:r w:rsidR="00ED4350">
        <w:t xml:space="preserve">and Mr Sanderson </w:t>
      </w:r>
      <w:r w:rsidR="00580B7B">
        <w:t xml:space="preserve">live in Lincolnshire and </w:t>
      </w:r>
      <w:r w:rsidR="00ED4350">
        <w:t>are in their late 60s; they have been together for some 14 years</w:t>
      </w:r>
      <w:r w:rsidR="00A02F52">
        <w:t xml:space="preserve">.  </w:t>
      </w:r>
      <w:r w:rsidR="00F83CBE">
        <w:t>Both are members of Humanists UK</w:t>
      </w:r>
      <w:r w:rsidR="00A02F52">
        <w:t xml:space="preserve"> and they </w:t>
      </w:r>
      <w:r w:rsidR="00F83CBE">
        <w:t>wish to have a humanist marriage in an outdoor location of personal significance, conducted by an accredited humanist celebrant. They do not want to have a civil marriage, nor do they want to be married by</w:t>
      </w:r>
      <w:r w:rsidR="00CD7EDB">
        <w:t>,</w:t>
      </w:r>
      <w:r w:rsidR="00F83CBE">
        <w:t xml:space="preserve"> or </w:t>
      </w:r>
      <w:proofErr w:type="gramStart"/>
      <w:r w:rsidR="00F83CBE">
        <w:t>have to</w:t>
      </w:r>
      <w:proofErr w:type="gramEnd"/>
      <w:r w:rsidR="00F83CBE">
        <w:t xml:space="preserve"> invite</w:t>
      </w:r>
      <w:r w:rsidR="00CD7EDB">
        <w:t>,</w:t>
      </w:r>
      <w:r w:rsidR="00F83CBE">
        <w:t xml:space="preserve"> any state official to their wedding.  </w:t>
      </w:r>
      <w:proofErr w:type="gramStart"/>
      <w:r w:rsidR="004E1E7E">
        <w:t xml:space="preserve">In particular, </w:t>
      </w:r>
      <w:r w:rsidR="00F83CBE">
        <w:t>Ms</w:t>
      </w:r>
      <w:proofErr w:type="gramEnd"/>
      <w:r w:rsidR="00F83CBE">
        <w:t xml:space="preserve"> Harrison</w:t>
      </w:r>
      <w:r w:rsidR="009F4FCE">
        <w:t xml:space="preserve"> -</w:t>
      </w:r>
      <w:r w:rsidR="004E1E7E">
        <w:t xml:space="preserve"> who</w:t>
      </w:r>
      <w:r w:rsidR="00F83CBE">
        <w:t xml:space="preserve"> has been a humanist since she was at university</w:t>
      </w:r>
      <w:r w:rsidR="00B1187A">
        <w:t xml:space="preserve">, </w:t>
      </w:r>
      <w:r w:rsidR="000E317E">
        <w:t>is</w:t>
      </w:r>
      <w:r w:rsidR="004E1E7E">
        <w:t xml:space="preserve"> </w:t>
      </w:r>
      <w:r w:rsidR="007A483E">
        <w:t xml:space="preserve">accredited by Humanists UK as </w:t>
      </w:r>
      <w:r w:rsidR="0075117A">
        <w:t xml:space="preserve">a </w:t>
      </w:r>
      <w:r w:rsidR="00F83CBE">
        <w:t xml:space="preserve">celebrant </w:t>
      </w:r>
      <w:r w:rsidR="0075117A">
        <w:t xml:space="preserve">and </w:t>
      </w:r>
      <w:r w:rsidR="000E317E">
        <w:t>pastoral carer</w:t>
      </w:r>
      <w:r w:rsidR="00B1187A">
        <w:t xml:space="preserve">, </w:t>
      </w:r>
      <w:r w:rsidR="000E317E">
        <w:t xml:space="preserve">and </w:t>
      </w:r>
      <w:r w:rsidR="0075117A">
        <w:t xml:space="preserve">is </w:t>
      </w:r>
      <w:r w:rsidR="000E317E">
        <w:t xml:space="preserve">part of the Chaplaincy team at Lincoln University - </w:t>
      </w:r>
      <w:r w:rsidR="009F4FCE">
        <w:t xml:space="preserve"> </w:t>
      </w:r>
      <w:r w:rsidR="00D85267">
        <w:t xml:space="preserve">considers </w:t>
      </w:r>
      <w:r w:rsidR="001401DA">
        <w:t xml:space="preserve">the securing of </w:t>
      </w:r>
      <w:r w:rsidR="00D85267">
        <w:t>equal</w:t>
      </w:r>
      <w:r w:rsidR="001401DA">
        <w:t xml:space="preserve">ity with </w:t>
      </w:r>
      <w:r w:rsidR="00455F3C">
        <w:t xml:space="preserve">those who hold </w:t>
      </w:r>
      <w:r w:rsidR="001401DA">
        <w:t>religious</w:t>
      </w:r>
      <w:r w:rsidR="00455F3C">
        <w:t xml:space="preserve"> beliefs to be a manifestation of her humanist belief</w:t>
      </w:r>
      <w:r w:rsidR="00193B04">
        <w:t xml:space="preserve"> and is not prepared to </w:t>
      </w:r>
      <w:r w:rsidR="00BD3204">
        <w:t xml:space="preserve">compromise by </w:t>
      </w:r>
      <w:r w:rsidR="00B44020">
        <w:t>entering into marriage without that equality of treatment</w:t>
      </w:r>
      <w:r w:rsidR="00455F3C">
        <w:t xml:space="preserve">.  </w:t>
      </w:r>
      <w:r w:rsidR="00B44020">
        <w:t>Ms Harrison</w:t>
      </w:r>
      <w:r w:rsidR="00C658F5">
        <w:t xml:space="preserve"> strongly refutes </w:t>
      </w:r>
      <w:r w:rsidR="00884AF3">
        <w:t>the Defendant’s suggestion that any distinction can properly be drawn betwee</w:t>
      </w:r>
      <w:r w:rsidR="002E21DD">
        <w:t xml:space="preserve">n the importance of marriage to humanists and </w:t>
      </w:r>
      <w:r w:rsidR="009F082F">
        <w:t>those of religious faith</w:t>
      </w:r>
      <w:r w:rsidR="00CF6973">
        <w:t xml:space="preserve">, explaining </w:t>
      </w:r>
      <w:r w:rsidR="00C658F5" w:rsidRPr="00CF6973">
        <w:rPr>
          <w:i/>
        </w:rPr>
        <w:t>“...ceremonial acts are of crucial importance to me and represent a tangible expression of my humanist beliefs and values</w:t>
      </w:r>
      <w:r w:rsidR="00CF6973">
        <w:rPr>
          <w:i/>
        </w:rPr>
        <w:t>”</w:t>
      </w:r>
      <w:r w:rsidR="00C658F5" w:rsidRPr="00CF6973">
        <w:rPr>
          <w:i/>
        </w:rPr>
        <w:t>.</w:t>
      </w:r>
      <w:r w:rsidR="00CF6973">
        <w:t xml:space="preserve">  That statement is </w:t>
      </w:r>
      <w:r w:rsidR="00267CE2">
        <w:t xml:space="preserve">borne </w:t>
      </w:r>
      <w:r w:rsidR="00CF6973">
        <w:t xml:space="preserve">out by Ms Harrison’s </w:t>
      </w:r>
      <w:r w:rsidR="00F03D64">
        <w:t xml:space="preserve">personal history: her </w:t>
      </w:r>
      <w:r w:rsidR="00B664C5">
        <w:t>children had humanist naming ceremonies and</w:t>
      </w:r>
      <w:r w:rsidR="00F171CF">
        <w:t xml:space="preserve"> her son </w:t>
      </w:r>
      <w:r w:rsidR="00B664C5">
        <w:t>was given a</w:t>
      </w:r>
      <w:r w:rsidR="00F83CBE">
        <w:t xml:space="preserve"> humanist funeral</w:t>
      </w:r>
      <w:r w:rsidR="00082CEB">
        <w:t xml:space="preserve"> when he died</w:t>
      </w:r>
      <w:r w:rsidR="00583878">
        <w:t xml:space="preserve">; something that she also intends for herself. </w:t>
      </w:r>
      <w:r w:rsidR="00082CEB">
        <w:t xml:space="preserve"> </w:t>
      </w:r>
    </w:p>
    <w:p w14:paraId="413A94E6" w14:textId="56D794D8" w:rsidR="00FD7260" w:rsidRDefault="00FD7260" w:rsidP="000768DC">
      <w:pPr>
        <w:pStyle w:val="ParaLevel1"/>
      </w:pPr>
      <w:r>
        <w:t xml:space="preserve">Couple </w:t>
      </w:r>
      <w:r w:rsidR="009B43F1">
        <w:t xml:space="preserve">Two: Ms </w:t>
      </w:r>
      <w:proofErr w:type="spellStart"/>
      <w:r w:rsidR="009B43F1">
        <w:t>Hose</w:t>
      </w:r>
      <w:r>
        <w:t>good</w:t>
      </w:r>
      <w:proofErr w:type="spellEnd"/>
      <w:r w:rsidR="009B43F1">
        <w:t xml:space="preserve"> and Mr </w:t>
      </w:r>
      <w:proofErr w:type="spellStart"/>
      <w:r>
        <w:t>Janeway</w:t>
      </w:r>
      <w:proofErr w:type="spellEnd"/>
      <w:r w:rsidR="009B43F1" w:rsidRPr="003B39A1">
        <w:rPr>
          <w:bCs/>
        </w:rPr>
        <w:t xml:space="preserve"> </w:t>
      </w:r>
      <w:r w:rsidR="003B39A1" w:rsidRPr="003B39A1">
        <w:rPr>
          <w:bCs/>
        </w:rPr>
        <w:t xml:space="preserve">live in Kent and </w:t>
      </w:r>
      <w:r w:rsidR="009B43F1">
        <w:rPr>
          <w:bCs/>
        </w:rPr>
        <w:t xml:space="preserve">had planned to marry </w:t>
      </w:r>
      <w:r w:rsidR="003C7EBC">
        <w:rPr>
          <w:bCs/>
        </w:rPr>
        <w:t xml:space="preserve">in a humanist wedding on 12 September this year but, due to the Covid-19 pandemic, have postponed their plans and </w:t>
      </w:r>
      <w:r>
        <w:t xml:space="preserve">are due to </w:t>
      </w:r>
      <w:r w:rsidR="00474AEF">
        <w:t>celebrate their humanist marriage</w:t>
      </w:r>
      <w:r>
        <w:t xml:space="preserve"> on </w:t>
      </w:r>
      <w:r w:rsidR="008C3BF2">
        <w:t>4</w:t>
      </w:r>
      <w:r>
        <w:t xml:space="preserve"> September 2021</w:t>
      </w:r>
      <w:r w:rsidR="00474AEF">
        <w:t>.</w:t>
      </w:r>
      <w:r w:rsidR="00E67DF8">
        <w:t xml:space="preserve">  Both Ms </w:t>
      </w:r>
      <w:proofErr w:type="spellStart"/>
      <w:r w:rsidR="00E67DF8">
        <w:t>Hosegood</w:t>
      </w:r>
      <w:proofErr w:type="spellEnd"/>
      <w:r w:rsidR="00E67DF8">
        <w:t xml:space="preserve"> and Mr </w:t>
      </w:r>
      <w:proofErr w:type="spellStart"/>
      <w:r w:rsidR="00E67DF8">
        <w:t>Janeway</w:t>
      </w:r>
      <w:proofErr w:type="spellEnd"/>
      <w:r w:rsidR="00E67DF8">
        <w:t xml:space="preserve"> are</w:t>
      </w:r>
      <w:r w:rsidR="00932AA2">
        <w:t xml:space="preserve"> supporters of Humanists UK and Ms </w:t>
      </w:r>
      <w:proofErr w:type="spellStart"/>
      <w:r w:rsidR="00932AA2">
        <w:t>Hosegood</w:t>
      </w:r>
      <w:proofErr w:type="spellEnd"/>
      <w:r w:rsidR="00932AA2">
        <w:t xml:space="preserve"> is a member.  If their humanist marriage is </w:t>
      </w:r>
      <w:r w:rsidR="002C62ED">
        <w:t xml:space="preserve">not legally recognised, they are considering </w:t>
      </w:r>
      <w:r w:rsidR="00270E1C">
        <w:t xml:space="preserve">undertaking a separate civil ceremony </w:t>
      </w:r>
      <w:r w:rsidR="00803E0F">
        <w:t xml:space="preserve">but consider that this belittles the vows that they will take in what they are clear </w:t>
      </w:r>
      <w:r w:rsidR="003817F9">
        <w:t xml:space="preserve">will be their </w:t>
      </w:r>
      <w:r w:rsidR="003817F9" w:rsidRPr="003817F9">
        <w:rPr>
          <w:i/>
          <w:iCs/>
        </w:rPr>
        <w:t>real</w:t>
      </w:r>
      <w:r w:rsidR="003817F9">
        <w:t xml:space="preserve">, humanist, wedding. </w:t>
      </w:r>
    </w:p>
    <w:p w14:paraId="7F6F21E7" w14:textId="4D9A88C0" w:rsidR="00FD7260" w:rsidRDefault="00FD7260" w:rsidP="000768DC">
      <w:pPr>
        <w:pStyle w:val="ParaLevel1"/>
      </w:pPr>
      <w:r>
        <w:lastRenderedPageBreak/>
        <w:t xml:space="preserve">Couple </w:t>
      </w:r>
      <w:r w:rsidR="00733A1C">
        <w:t xml:space="preserve">Three: Ms </w:t>
      </w:r>
      <w:proofErr w:type="spellStart"/>
      <w:r w:rsidR="00733A1C">
        <w:t>Rew</w:t>
      </w:r>
      <w:proofErr w:type="spellEnd"/>
      <w:r w:rsidR="00733A1C">
        <w:t xml:space="preserve"> and Mr </w:t>
      </w:r>
      <w:proofErr w:type="spellStart"/>
      <w:r>
        <w:t>Meakin</w:t>
      </w:r>
      <w:proofErr w:type="spellEnd"/>
      <w:r w:rsidR="00390E4D">
        <w:t xml:space="preserve"> are supporters of Humanists UK</w:t>
      </w:r>
      <w:r w:rsidR="005172CE">
        <w:t xml:space="preserve"> who live in Somerset.  They</w:t>
      </w:r>
      <w:r w:rsidR="00390E4D">
        <w:t xml:space="preserve"> </w:t>
      </w:r>
      <w:r>
        <w:t>had a humanist marriage on 31</w:t>
      </w:r>
      <w:r>
        <w:rPr>
          <w:vertAlign w:val="superscript"/>
        </w:rPr>
        <w:t>st</w:t>
      </w:r>
      <w:r>
        <w:t xml:space="preserve"> August 2019</w:t>
      </w:r>
      <w:r w:rsidR="009D5BCC">
        <w:t xml:space="preserve">, conducted in an outdoors ceremony by a humanist celebrant.  </w:t>
      </w:r>
      <w:r w:rsidR="00736835">
        <w:t>They have not</w:t>
      </w:r>
      <w:r w:rsidR="00294269">
        <w:t xml:space="preserve"> </w:t>
      </w:r>
      <w:r>
        <w:t xml:space="preserve">yet had a </w:t>
      </w:r>
      <w:r w:rsidR="00294269">
        <w:t>civil ceremony</w:t>
      </w:r>
      <w:r w:rsidR="006929D0">
        <w:t>,</w:t>
      </w:r>
      <w:r w:rsidR="00DA0811">
        <w:t xml:space="preserve"> in the presence of a registrar,</w:t>
      </w:r>
      <w:r w:rsidR="00294269">
        <w:t xml:space="preserve"> and </w:t>
      </w:r>
      <w:r w:rsidR="000F4680">
        <w:t>their marriage is,</w:t>
      </w:r>
      <w:r w:rsidR="002174B3">
        <w:t xml:space="preserve"> therefore, not </w:t>
      </w:r>
      <w:r w:rsidR="000F4680">
        <w:t>legally recognised</w:t>
      </w:r>
      <w:r>
        <w:t xml:space="preserve">.  </w:t>
      </w:r>
    </w:p>
    <w:p w14:paraId="65749FC4" w14:textId="14D73E38" w:rsidR="00FD7260" w:rsidRDefault="00FD7260" w:rsidP="000768DC">
      <w:pPr>
        <w:pStyle w:val="ParaLevel1"/>
      </w:pPr>
      <w:r>
        <w:t>Couple</w:t>
      </w:r>
      <w:r w:rsidR="00D87D9A">
        <w:t xml:space="preserve"> Four: M</w:t>
      </w:r>
      <w:r w:rsidR="00A4364D">
        <w:t>s</w:t>
      </w:r>
      <w:r w:rsidR="00D87D9A">
        <w:t xml:space="preserve"> </w:t>
      </w:r>
      <w:proofErr w:type="spellStart"/>
      <w:r>
        <w:t>McCalmont</w:t>
      </w:r>
      <w:proofErr w:type="spellEnd"/>
      <w:r w:rsidR="00A4364D">
        <w:t xml:space="preserve"> and</w:t>
      </w:r>
      <w:r>
        <w:t xml:space="preserve"> </w:t>
      </w:r>
      <w:r w:rsidR="00A4364D">
        <w:t>Mr Graham</w:t>
      </w:r>
      <w:r w:rsidR="00315768">
        <w:t xml:space="preserve"> are also supporters of Humanists UK and</w:t>
      </w:r>
      <w:r w:rsidR="00315768" w:rsidRPr="00BF0F6B">
        <w:rPr>
          <w:bCs/>
        </w:rPr>
        <w:t xml:space="preserve"> </w:t>
      </w:r>
      <w:r w:rsidR="00DF5A90" w:rsidRPr="00BF0F6B">
        <w:rPr>
          <w:bCs/>
        </w:rPr>
        <w:t xml:space="preserve">had </w:t>
      </w:r>
      <w:r w:rsidR="00315768" w:rsidRPr="00BF0F6B">
        <w:rPr>
          <w:bCs/>
        </w:rPr>
        <w:t>plan</w:t>
      </w:r>
      <w:r w:rsidR="00DF5A90" w:rsidRPr="00BF0F6B">
        <w:rPr>
          <w:bCs/>
        </w:rPr>
        <w:t>ned</w:t>
      </w:r>
      <w:r>
        <w:t xml:space="preserve"> to marry on 30 July 2020, although their plans have recently changed</w:t>
      </w:r>
      <w:r w:rsidR="00913CF9">
        <w:t xml:space="preserve">.  </w:t>
      </w:r>
      <w:r w:rsidR="008105E1">
        <w:t xml:space="preserve">Ms </w:t>
      </w:r>
      <w:proofErr w:type="spellStart"/>
      <w:r w:rsidR="008105E1">
        <w:t>McCalmont</w:t>
      </w:r>
      <w:proofErr w:type="spellEnd"/>
      <w:r w:rsidR="008105E1">
        <w:t xml:space="preserve"> and Mr Graham live in Northern Ireland and could have had a legally recognised humanist marriage there </w:t>
      </w:r>
      <w:r w:rsidR="000B17F6">
        <w:t>(</w:t>
      </w:r>
      <w:r w:rsidR="00400FC8">
        <w:t>humanist marriages are legally recognised</w:t>
      </w:r>
      <w:r w:rsidR="00BD2D88">
        <w:t xml:space="preserve"> in Northern Ireland</w:t>
      </w:r>
      <w:r w:rsidR="00400FC8">
        <w:t xml:space="preserve">, following the decision of </w:t>
      </w:r>
      <w:r w:rsidR="00400FC8">
        <w:rPr>
          <w:lang w:eastAsia="en-GB"/>
        </w:rPr>
        <w:t xml:space="preserve">the Court of Appeal of Northern Ireland in the case of </w:t>
      </w:r>
      <w:proofErr w:type="spellStart"/>
      <w:r w:rsidR="00400FC8" w:rsidRPr="00BF0F6B">
        <w:rPr>
          <w:i/>
          <w:iCs/>
          <w:lang w:eastAsia="en-GB"/>
        </w:rPr>
        <w:t>Smythe</w:t>
      </w:r>
      <w:proofErr w:type="spellEnd"/>
      <w:r w:rsidR="00400FC8" w:rsidRPr="00BF0F6B">
        <w:rPr>
          <w:i/>
          <w:iCs/>
          <w:lang w:eastAsia="en-GB"/>
        </w:rPr>
        <w:t xml:space="preserve">, Laura, an Application for Judicial Review </w:t>
      </w:r>
      <w:r w:rsidR="00400FC8">
        <w:rPr>
          <w:lang w:eastAsia="en-GB"/>
        </w:rPr>
        <w:t>[2018] NICA 25</w:t>
      </w:r>
      <w:r w:rsidR="00BF0F6B">
        <w:rPr>
          <w:lang w:eastAsia="en-GB"/>
        </w:rPr>
        <w:t xml:space="preserve">) </w:t>
      </w:r>
      <w:r w:rsidR="008105E1">
        <w:t xml:space="preserve">but </w:t>
      </w:r>
      <w:r w:rsidR="00A02C73">
        <w:t>wish to marry in a location in Devon</w:t>
      </w:r>
      <w:r w:rsidR="007C6694">
        <w:t xml:space="preserve"> that </w:t>
      </w:r>
      <w:r w:rsidR="00A02C73">
        <w:t xml:space="preserve">has </w:t>
      </w:r>
      <w:proofErr w:type="gramStart"/>
      <w:r w:rsidR="00A02C73">
        <w:t>particular significance</w:t>
      </w:r>
      <w:proofErr w:type="gramEnd"/>
      <w:r w:rsidR="00A02C73">
        <w:t xml:space="preserve"> to them. </w:t>
      </w:r>
    </w:p>
    <w:p w14:paraId="5975CAD0" w14:textId="09C2591B" w:rsidR="004C41B6" w:rsidRDefault="0061540C" w:rsidP="000768DC">
      <w:pPr>
        <w:pStyle w:val="ParaLevel1"/>
      </w:pPr>
      <w:r>
        <w:t xml:space="preserve">Couple Five: </w:t>
      </w:r>
      <w:r w:rsidR="0032771B">
        <w:t>Ms Greaney and Mr Worsley Davies</w:t>
      </w:r>
      <w:r w:rsidR="0067371A">
        <w:t xml:space="preserve"> live near Chester and</w:t>
      </w:r>
      <w:r w:rsidR="00F34DD6">
        <w:t xml:space="preserve"> married on 5 October 20</w:t>
      </w:r>
      <w:r w:rsidR="002A717A">
        <w:t xml:space="preserve">19 in a humanist ceremony; both are supporters of Humanists UK and </w:t>
      </w:r>
      <w:r w:rsidR="00B43A96">
        <w:t xml:space="preserve">object to the fact that </w:t>
      </w:r>
      <w:r w:rsidR="00FD31C2">
        <w:t xml:space="preserve">they had to also undertake a civil wedding for their marriage to be legally recognised.  Ms Greaney and Mr Worsley Davies </w:t>
      </w:r>
      <w:r w:rsidR="002164FC">
        <w:t>underwent their register</w:t>
      </w:r>
      <w:r w:rsidR="00747096">
        <w:t xml:space="preserve"> office ceremony</w:t>
      </w:r>
      <w:r w:rsidR="002A0066">
        <w:t xml:space="preserve"> in Chester,</w:t>
      </w:r>
      <w:r w:rsidR="00747096">
        <w:t xml:space="preserve"> the day before their marriage</w:t>
      </w:r>
      <w:r w:rsidR="002A0066">
        <w:t>,</w:t>
      </w:r>
      <w:r w:rsidR="00747096">
        <w:t xml:space="preserve"> and describe it as </w:t>
      </w:r>
      <w:r w:rsidR="002145BF">
        <w:t>“</w:t>
      </w:r>
      <w:r w:rsidR="002145BF" w:rsidRPr="00613777">
        <w:rPr>
          <w:i/>
          <w:iCs/>
        </w:rPr>
        <w:t>impersonal</w:t>
      </w:r>
      <w:r w:rsidR="002145BF">
        <w:t>”, with the registrar repeatedly mispronouncing Mr Worsley Davies’ name</w:t>
      </w:r>
      <w:r w:rsidR="00D172B5">
        <w:t xml:space="preserve">.  </w:t>
      </w:r>
    </w:p>
    <w:p w14:paraId="7A2FC194" w14:textId="6CF271A1" w:rsidR="006363EC" w:rsidRDefault="00FE0180" w:rsidP="000768DC">
      <w:pPr>
        <w:pStyle w:val="ParaLevel1"/>
      </w:pPr>
      <w:r>
        <w:t xml:space="preserve">Couple Six: </w:t>
      </w:r>
      <w:r w:rsidR="00B638DE">
        <w:t xml:space="preserve">Ms </w:t>
      </w:r>
      <w:r w:rsidR="00F83CBE">
        <w:t>Penny</w:t>
      </w:r>
      <w:r w:rsidR="00B638DE">
        <w:t xml:space="preserve"> and Mr </w:t>
      </w:r>
      <w:r w:rsidR="00F83CBE">
        <w:t>Bradley</w:t>
      </w:r>
      <w:r w:rsidR="00613C16">
        <w:t>, who come from Merseyside,</w:t>
      </w:r>
      <w:r w:rsidR="00B638DE">
        <w:t xml:space="preserve"> are also now married, having </w:t>
      </w:r>
      <w:r w:rsidR="003A0166">
        <w:t xml:space="preserve">had a humanist wedding ceremony </w:t>
      </w:r>
      <w:r w:rsidR="00F83CBE">
        <w:t>on 28 December 2019</w:t>
      </w:r>
      <w:r w:rsidR="008A2B0C">
        <w:t xml:space="preserve">.  Ms Penny is a supporter of Humanists UK and explains that she has identified as an atheist and humanist from a young age; Mr Bradley similarly identifies as a humanist.  </w:t>
      </w:r>
      <w:r w:rsidR="009302AE">
        <w:t>Due to the lack of legal recognition of their humanist marriage, Ms Penny and Mr Bradley also underwent a civil ceremony</w:t>
      </w:r>
      <w:r w:rsidR="006363EC">
        <w:t xml:space="preserve">; in their case this took place </w:t>
      </w:r>
      <w:r w:rsidR="002164FC">
        <w:t>in the register</w:t>
      </w:r>
      <w:r w:rsidR="0051781D">
        <w:t xml:space="preserve"> office </w:t>
      </w:r>
      <w:r w:rsidR="001129C0">
        <w:t xml:space="preserve">in St Helen’s Town Hall, </w:t>
      </w:r>
      <w:r w:rsidR="006363EC">
        <w:t>immediately after their humanist wedding</w:t>
      </w:r>
      <w:r w:rsidR="0076715A">
        <w:t xml:space="preserve"> and </w:t>
      </w:r>
      <w:r w:rsidR="006363EC">
        <w:t xml:space="preserve">Ms Penny </w:t>
      </w:r>
      <w:r w:rsidR="000523F5">
        <w:t xml:space="preserve">describes this as being </w:t>
      </w:r>
      <w:r w:rsidR="0076715A">
        <w:t>a negative experience</w:t>
      </w:r>
      <w:r w:rsidR="00081DE1">
        <w:t>, not least</w:t>
      </w:r>
      <w:r w:rsidR="000523F5">
        <w:t xml:space="preserve"> as the registrar who was </w:t>
      </w:r>
      <w:r w:rsidR="0038476D">
        <w:t>presiding over the occasion</w:t>
      </w:r>
      <w:r w:rsidR="000523F5">
        <w:t xml:space="preserve"> described it</w:t>
      </w:r>
      <w:r w:rsidR="0038476D">
        <w:t xml:space="preserve"> a</w:t>
      </w:r>
      <w:r w:rsidR="000523F5">
        <w:t xml:space="preserve">s </w:t>
      </w:r>
      <w:r w:rsidR="0038476D">
        <w:t>“</w:t>
      </w:r>
      <w:r w:rsidR="0038476D" w:rsidRPr="00081DE1">
        <w:rPr>
          <w:i/>
          <w:iCs/>
        </w:rPr>
        <w:t>your real ceremony</w:t>
      </w:r>
      <w:r w:rsidR="0038476D">
        <w:t>”</w:t>
      </w:r>
      <w:r w:rsidR="00081DE1">
        <w:t>.</w:t>
      </w:r>
    </w:p>
    <w:p w14:paraId="3848C925" w14:textId="634039F3" w:rsidR="00081DE1" w:rsidRDefault="001943BC" w:rsidP="000768DC">
      <w:pPr>
        <w:pStyle w:val="ParaLevel1"/>
      </w:pPr>
      <w:r>
        <w:t xml:space="preserve">Although the Defendant has not accepted that marriage by humanist ceremony can be described </w:t>
      </w:r>
      <w:r w:rsidR="001032FE">
        <w:t>as “</w:t>
      </w:r>
      <w:r w:rsidR="001032FE" w:rsidRPr="001032FE">
        <w:rPr>
          <w:i/>
          <w:iCs/>
        </w:rPr>
        <w:t>intimately linked</w:t>
      </w:r>
      <w:r w:rsidR="001032FE">
        <w:t>” to the humanist belief system or form</w:t>
      </w:r>
      <w:r w:rsidR="003A6FC6">
        <w:t>s</w:t>
      </w:r>
      <w:r w:rsidR="001032FE">
        <w:t xml:space="preserve"> a “</w:t>
      </w:r>
      <w:r w:rsidR="001032FE" w:rsidRPr="001032FE">
        <w:rPr>
          <w:i/>
          <w:iCs/>
        </w:rPr>
        <w:t>sufficiently close and direct nexus</w:t>
      </w:r>
      <w:r w:rsidR="001032FE">
        <w:t xml:space="preserve">” with humanist beliefs, </w:t>
      </w:r>
      <w:r w:rsidR="00356C7C">
        <w:t xml:space="preserve">it is conceded that, on the evidence before the </w:t>
      </w:r>
      <w:r w:rsidR="00694073">
        <w:t>c</w:t>
      </w:r>
      <w:r w:rsidR="00356C7C">
        <w:t xml:space="preserve">ourt, the </w:t>
      </w:r>
      <w:proofErr w:type="gramStart"/>
      <w:r w:rsidR="00A9079E">
        <w:t>particular cases</w:t>
      </w:r>
      <w:proofErr w:type="gramEnd"/>
      <w:r w:rsidR="00A9079E">
        <w:t xml:space="preserve"> of each of these Claimants do fall within the ambit of </w:t>
      </w:r>
      <w:r w:rsidR="00694073">
        <w:t>a</w:t>
      </w:r>
      <w:r w:rsidR="00A9079E">
        <w:t>rticle 9 ECHR</w:t>
      </w:r>
      <w:r w:rsidR="00443509">
        <w:t xml:space="preserve"> (see further, below)</w:t>
      </w:r>
      <w:r w:rsidR="00A9079E">
        <w:t xml:space="preserve">. </w:t>
      </w:r>
    </w:p>
    <w:p w14:paraId="5198DFB3" w14:textId="749E1B0F" w:rsidR="009F60B6" w:rsidRPr="000C23BE" w:rsidRDefault="009F60B6" w:rsidP="000768DC">
      <w:pPr>
        <w:pStyle w:val="ParaLevel1"/>
        <w:numPr>
          <w:ilvl w:val="0"/>
          <w:numId w:val="0"/>
        </w:numPr>
        <w:ind w:left="720" w:hanging="720"/>
        <w:rPr>
          <w:b/>
          <w:bCs/>
        </w:rPr>
      </w:pPr>
      <w:bookmarkStart w:id="8" w:name="lgsltve_dvlpmnts_cnsdrtion_refrm"/>
      <w:r w:rsidRPr="000C23BE">
        <w:rPr>
          <w:b/>
          <w:bCs/>
        </w:rPr>
        <w:t>Legislative Developments and Consideration of Reform</w:t>
      </w:r>
    </w:p>
    <w:bookmarkEnd w:id="8"/>
    <w:p w14:paraId="52DC0C25" w14:textId="5B4F0691" w:rsidR="008D3462" w:rsidRPr="00AB1D6C" w:rsidRDefault="00CB754C" w:rsidP="000768DC">
      <w:pPr>
        <w:pStyle w:val="ParaLevel1"/>
        <w:rPr>
          <w:color w:val="000000"/>
          <w:sz w:val="22"/>
          <w:szCs w:val="22"/>
          <w:lang w:eastAsia="en-GB"/>
        </w:rPr>
      </w:pPr>
      <w:r>
        <w:t xml:space="preserve">By section 14 of </w:t>
      </w:r>
      <w:r w:rsidR="00C72EAB">
        <w:t>t</w:t>
      </w:r>
      <w:r w:rsidR="00284926">
        <w:t>he Marriage (Same Sex Couples) Act 2013 (“the 2013 Act”)</w:t>
      </w:r>
      <w:r w:rsidR="008D3462">
        <w:t>, it is provided that</w:t>
      </w:r>
      <w:r w:rsidR="006046C4">
        <w:t>, in relation to “</w:t>
      </w:r>
      <w:r w:rsidR="006046C4" w:rsidRPr="00287651">
        <w:rPr>
          <w:i/>
          <w:iCs/>
        </w:rPr>
        <w:t>Marriage according to the usages of belief organisations</w:t>
      </w:r>
      <w:r w:rsidR="006046C4">
        <w:t>”</w:t>
      </w:r>
      <w:r w:rsidR="008D3462">
        <w:t xml:space="preserve">: </w:t>
      </w:r>
    </w:p>
    <w:p w14:paraId="5C516AAA" w14:textId="1495A1A3" w:rsidR="00AB1D6C" w:rsidRPr="00AB1D6C" w:rsidRDefault="00287651" w:rsidP="000768DC">
      <w:pPr>
        <w:pStyle w:val="Quote"/>
        <w:rPr>
          <w:lang w:eastAsia="en-GB"/>
        </w:rPr>
      </w:pPr>
      <w:r>
        <w:rPr>
          <w:lang w:eastAsia="en-GB"/>
        </w:rPr>
        <w:t>“</w:t>
      </w:r>
      <w:r w:rsidR="00AB1D6C" w:rsidRPr="00AB1D6C">
        <w:rPr>
          <w:lang w:eastAsia="en-GB"/>
        </w:rPr>
        <w:t>(1)</w:t>
      </w:r>
      <w:r w:rsidR="00FB3E26">
        <w:rPr>
          <w:lang w:eastAsia="en-GB"/>
        </w:rPr>
        <w:t xml:space="preserve"> </w:t>
      </w:r>
      <w:r w:rsidR="00AB1D6C" w:rsidRPr="00AB1D6C">
        <w:rPr>
          <w:lang w:eastAsia="en-GB"/>
        </w:rPr>
        <w:t>The Secretary of State must arrange for a review of—</w:t>
      </w:r>
    </w:p>
    <w:p w14:paraId="558D4062" w14:textId="00B4673D" w:rsidR="00AB1D6C" w:rsidRPr="00AB1D6C" w:rsidRDefault="00AB1D6C" w:rsidP="000768DC">
      <w:pPr>
        <w:pStyle w:val="Quote"/>
        <w:rPr>
          <w:lang w:eastAsia="en-GB"/>
        </w:rPr>
      </w:pPr>
      <w:r w:rsidRPr="00AB1D6C">
        <w:rPr>
          <w:lang w:eastAsia="en-GB"/>
        </w:rPr>
        <w:t>(a)</w:t>
      </w:r>
      <w:r w:rsidR="002C7D47">
        <w:rPr>
          <w:lang w:eastAsia="en-GB"/>
        </w:rPr>
        <w:t xml:space="preserve"> </w:t>
      </w:r>
      <w:r w:rsidRPr="00AB1D6C">
        <w:rPr>
          <w:lang w:eastAsia="en-GB"/>
        </w:rPr>
        <w:t>whether an order under subsection (4) should be made permitting marriages according to the usages of belief organisations to be solemnized on the authority of certificates of a superintendent registrar, and</w:t>
      </w:r>
    </w:p>
    <w:p w14:paraId="3F289F63" w14:textId="23E94CD4" w:rsidR="00AB1D6C" w:rsidRPr="00AB1D6C" w:rsidRDefault="00AB1D6C" w:rsidP="000768DC">
      <w:pPr>
        <w:pStyle w:val="Quote"/>
        <w:rPr>
          <w:lang w:eastAsia="en-GB"/>
        </w:rPr>
      </w:pPr>
      <w:r w:rsidRPr="00AB1D6C">
        <w:rPr>
          <w:lang w:eastAsia="en-GB"/>
        </w:rPr>
        <w:t>(b)</w:t>
      </w:r>
      <w:r w:rsidR="002C7D47">
        <w:rPr>
          <w:lang w:eastAsia="en-GB"/>
        </w:rPr>
        <w:t xml:space="preserve"> </w:t>
      </w:r>
      <w:r w:rsidRPr="00AB1D6C">
        <w:rPr>
          <w:lang w:eastAsia="en-GB"/>
        </w:rPr>
        <w:t>if so, what provision should be included in the order.</w:t>
      </w:r>
    </w:p>
    <w:p w14:paraId="43E6CCBE" w14:textId="3F3FFB39" w:rsidR="00AB1D6C" w:rsidRPr="00AB1D6C" w:rsidRDefault="00AB1D6C" w:rsidP="000768DC">
      <w:pPr>
        <w:pStyle w:val="Quote"/>
        <w:rPr>
          <w:lang w:eastAsia="en-GB"/>
        </w:rPr>
      </w:pPr>
      <w:r w:rsidRPr="00AB1D6C">
        <w:rPr>
          <w:lang w:eastAsia="en-GB"/>
        </w:rPr>
        <w:lastRenderedPageBreak/>
        <w:t>(2)</w:t>
      </w:r>
      <w:r w:rsidR="00FB3E26">
        <w:rPr>
          <w:lang w:eastAsia="en-GB"/>
        </w:rPr>
        <w:t xml:space="preserve"> </w:t>
      </w:r>
      <w:r w:rsidRPr="00AB1D6C">
        <w:rPr>
          <w:lang w:eastAsia="en-GB"/>
        </w:rPr>
        <w:t>The arrangements made by the Secretary of State under subsection (1) must provide for the review to include a full public consultation.</w:t>
      </w:r>
    </w:p>
    <w:p w14:paraId="04F53D0A" w14:textId="4B669B38" w:rsidR="00AB1D6C" w:rsidRPr="00AB1D6C" w:rsidRDefault="00AB1D6C" w:rsidP="000768DC">
      <w:pPr>
        <w:pStyle w:val="Quote"/>
        <w:rPr>
          <w:lang w:eastAsia="en-GB"/>
        </w:rPr>
      </w:pPr>
      <w:r w:rsidRPr="00AB1D6C">
        <w:rPr>
          <w:lang w:eastAsia="en-GB"/>
        </w:rPr>
        <w:t>(3)</w:t>
      </w:r>
      <w:r w:rsidR="00FB3E26">
        <w:rPr>
          <w:lang w:eastAsia="en-GB"/>
        </w:rPr>
        <w:t xml:space="preserve"> </w:t>
      </w:r>
      <w:r w:rsidRPr="00AB1D6C">
        <w:rPr>
          <w:lang w:eastAsia="en-GB"/>
        </w:rPr>
        <w:t>The Secretary of State must arrange for a report on the outcome of the review to be produced and published before 1 January 2015.</w:t>
      </w:r>
    </w:p>
    <w:p w14:paraId="7DF1ABE7" w14:textId="3A5D853E" w:rsidR="00AB1D6C" w:rsidRPr="00AB1D6C" w:rsidRDefault="00AB1D6C" w:rsidP="000768DC">
      <w:pPr>
        <w:pStyle w:val="Quote"/>
        <w:rPr>
          <w:lang w:eastAsia="en-GB"/>
        </w:rPr>
      </w:pPr>
      <w:r w:rsidRPr="00AB1D6C">
        <w:rPr>
          <w:lang w:eastAsia="en-GB"/>
        </w:rPr>
        <w:t>(4)</w:t>
      </w:r>
      <w:r w:rsidR="00FB3E26">
        <w:rPr>
          <w:lang w:eastAsia="en-GB"/>
        </w:rPr>
        <w:t xml:space="preserve"> </w:t>
      </w:r>
      <w:r w:rsidRPr="00AB1D6C">
        <w:rPr>
          <w:lang w:eastAsia="en-GB"/>
        </w:rPr>
        <w:t xml:space="preserve">The Secretary of State may by order make provision for and </w:t>
      </w:r>
      <w:proofErr w:type="gramStart"/>
      <w:r w:rsidRPr="00AB1D6C">
        <w:rPr>
          <w:lang w:eastAsia="en-GB"/>
        </w:rPr>
        <w:t>in connection with</w:t>
      </w:r>
      <w:proofErr w:type="gramEnd"/>
      <w:r w:rsidRPr="00AB1D6C">
        <w:rPr>
          <w:lang w:eastAsia="en-GB"/>
        </w:rPr>
        <w:t xml:space="preserve"> permitting marriages according to the usages of belief organisations to be solemnized on the authority of certificates of a superintendent registrar.</w:t>
      </w:r>
    </w:p>
    <w:p w14:paraId="7187EC25" w14:textId="01BBD507" w:rsidR="00AB1D6C" w:rsidRPr="00AB1D6C" w:rsidRDefault="00AB1D6C" w:rsidP="000768DC">
      <w:pPr>
        <w:pStyle w:val="Quote"/>
        <w:rPr>
          <w:lang w:eastAsia="en-GB"/>
        </w:rPr>
      </w:pPr>
      <w:r w:rsidRPr="00AB1D6C">
        <w:rPr>
          <w:lang w:eastAsia="en-GB"/>
        </w:rPr>
        <w:t>(5)</w:t>
      </w:r>
      <w:r w:rsidR="000C23BE">
        <w:rPr>
          <w:lang w:eastAsia="en-GB"/>
        </w:rPr>
        <w:t xml:space="preserve"> </w:t>
      </w:r>
      <w:r w:rsidRPr="00AB1D6C">
        <w:rPr>
          <w:lang w:eastAsia="en-GB"/>
        </w:rPr>
        <w:t>An order under subsection (4) may—</w:t>
      </w:r>
    </w:p>
    <w:p w14:paraId="3FE61461" w14:textId="4DBD5F16" w:rsidR="00AB1D6C" w:rsidRPr="00AB1D6C" w:rsidRDefault="00AB1D6C" w:rsidP="000768DC">
      <w:pPr>
        <w:pStyle w:val="Quote"/>
        <w:rPr>
          <w:lang w:eastAsia="en-GB"/>
        </w:rPr>
      </w:pPr>
      <w:r w:rsidRPr="00AB1D6C">
        <w:rPr>
          <w:lang w:eastAsia="en-GB"/>
        </w:rPr>
        <w:t>(a)</w:t>
      </w:r>
      <w:r w:rsidR="007B5493">
        <w:rPr>
          <w:lang w:eastAsia="en-GB"/>
        </w:rPr>
        <w:t xml:space="preserve"> </w:t>
      </w:r>
      <w:r w:rsidRPr="00AB1D6C">
        <w:rPr>
          <w:lang w:eastAsia="en-GB"/>
        </w:rPr>
        <w:t>amend any England and Wales legislation;</w:t>
      </w:r>
    </w:p>
    <w:p w14:paraId="78D69F2B" w14:textId="74F5A30F" w:rsidR="00AB1D6C" w:rsidRPr="00AB1D6C" w:rsidRDefault="00AB1D6C" w:rsidP="000768DC">
      <w:pPr>
        <w:pStyle w:val="Quote"/>
        <w:rPr>
          <w:lang w:eastAsia="en-GB"/>
        </w:rPr>
      </w:pPr>
      <w:r w:rsidRPr="00AB1D6C">
        <w:rPr>
          <w:lang w:eastAsia="en-GB"/>
        </w:rPr>
        <w:t>(b)</w:t>
      </w:r>
      <w:r w:rsidR="007B5493">
        <w:rPr>
          <w:lang w:eastAsia="en-GB"/>
        </w:rPr>
        <w:t xml:space="preserve"> </w:t>
      </w:r>
      <w:r w:rsidRPr="00AB1D6C">
        <w:rPr>
          <w:lang w:eastAsia="en-GB"/>
        </w:rPr>
        <w:t>make provision for the charging of fees.</w:t>
      </w:r>
    </w:p>
    <w:p w14:paraId="470B29DE" w14:textId="0E7D6F03" w:rsidR="00AB1D6C" w:rsidRPr="00AB1D6C" w:rsidRDefault="00AB1D6C" w:rsidP="000768DC">
      <w:pPr>
        <w:pStyle w:val="Quote"/>
        <w:rPr>
          <w:lang w:eastAsia="en-GB"/>
        </w:rPr>
      </w:pPr>
      <w:r w:rsidRPr="00AB1D6C">
        <w:rPr>
          <w:lang w:eastAsia="en-GB"/>
        </w:rPr>
        <w:t>(6)</w:t>
      </w:r>
      <w:r w:rsidR="007B5493">
        <w:rPr>
          <w:lang w:eastAsia="en-GB"/>
        </w:rPr>
        <w:t xml:space="preserve"> </w:t>
      </w:r>
      <w:r w:rsidRPr="00AB1D6C">
        <w:rPr>
          <w:lang w:eastAsia="en-GB"/>
        </w:rPr>
        <w:t>An order under subsection (4) must provide that no religious service may be used at a marriage which is solemnized in pursuance of the order.</w:t>
      </w:r>
    </w:p>
    <w:p w14:paraId="23834E4E" w14:textId="1F15DE9B" w:rsidR="00AB1D6C" w:rsidRPr="00173E0A" w:rsidRDefault="00AB1D6C" w:rsidP="000768DC">
      <w:pPr>
        <w:pStyle w:val="Quote"/>
        <w:rPr>
          <w:szCs w:val="24"/>
          <w:lang w:eastAsia="en-GB"/>
        </w:rPr>
      </w:pPr>
      <w:r w:rsidRPr="00AB1D6C">
        <w:rPr>
          <w:lang w:eastAsia="en-GB"/>
        </w:rPr>
        <w:t>(7)</w:t>
      </w:r>
      <w:r w:rsidR="007B5493">
        <w:rPr>
          <w:lang w:eastAsia="en-GB"/>
        </w:rPr>
        <w:t xml:space="preserve"> </w:t>
      </w:r>
      <w:r w:rsidRPr="00AB1D6C">
        <w:rPr>
          <w:lang w:eastAsia="en-GB"/>
        </w:rPr>
        <w:t xml:space="preserve">In this section “belief organisation” means an organisation whose principal or sole purpose is the advancement of a system </w:t>
      </w:r>
      <w:r w:rsidRPr="00173E0A">
        <w:rPr>
          <w:szCs w:val="24"/>
          <w:lang w:eastAsia="en-GB"/>
        </w:rPr>
        <w:t>of non-religious beliefs which relate to morality or ethics.</w:t>
      </w:r>
      <w:r w:rsidR="007B5493" w:rsidRPr="00173E0A">
        <w:rPr>
          <w:szCs w:val="24"/>
          <w:lang w:eastAsia="en-GB"/>
        </w:rPr>
        <w:t>”</w:t>
      </w:r>
    </w:p>
    <w:p w14:paraId="1D00C3AC" w14:textId="558108EF" w:rsidR="001E32C2" w:rsidRPr="00173E0A" w:rsidRDefault="001E32C2" w:rsidP="000768DC">
      <w:pPr>
        <w:pStyle w:val="ParaLevel1"/>
        <w:numPr>
          <w:ilvl w:val="0"/>
          <w:numId w:val="0"/>
        </w:numPr>
        <w:ind w:left="720"/>
        <w:rPr>
          <w:color w:val="000000"/>
          <w:szCs w:val="24"/>
          <w:lang w:eastAsia="en-GB"/>
        </w:rPr>
      </w:pPr>
      <w:r w:rsidRPr="00173E0A">
        <w:rPr>
          <w:color w:val="000000"/>
          <w:szCs w:val="24"/>
          <w:lang w:eastAsia="en-GB"/>
        </w:rPr>
        <w:t>The Defendant is the relevant Secretary of State for these purposes.</w:t>
      </w:r>
    </w:p>
    <w:p w14:paraId="35D9A9A6" w14:textId="3D007BEB" w:rsidR="0015405D" w:rsidRPr="00173E0A" w:rsidRDefault="00C378C0" w:rsidP="000768DC">
      <w:pPr>
        <w:pStyle w:val="ParaLevel1"/>
        <w:rPr>
          <w:color w:val="000000"/>
          <w:szCs w:val="24"/>
          <w:lang w:eastAsia="en-GB"/>
        </w:rPr>
      </w:pPr>
      <w:r w:rsidRPr="00173E0A">
        <w:rPr>
          <w:color w:val="000000"/>
          <w:szCs w:val="24"/>
          <w:lang w:eastAsia="en-GB"/>
        </w:rPr>
        <w:t>In accordance with</w:t>
      </w:r>
      <w:r w:rsidR="008A0BDA" w:rsidRPr="00173E0A">
        <w:rPr>
          <w:color w:val="000000"/>
          <w:szCs w:val="24"/>
          <w:lang w:eastAsia="en-GB"/>
        </w:rPr>
        <w:t xml:space="preserve"> the requirement </w:t>
      </w:r>
      <w:r w:rsidR="00D51FF2" w:rsidRPr="00173E0A">
        <w:rPr>
          <w:color w:val="000000"/>
          <w:szCs w:val="24"/>
          <w:lang w:eastAsia="en-GB"/>
        </w:rPr>
        <w:t xml:space="preserve">that the review include a full public consultation, </w:t>
      </w:r>
      <w:r w:rsidR="00026218" w:rsidRPr="00173E0A">
        <w:rPr>
          <w:color w:val="000000"/>
          <w:szCs w:val="24"/>
          <w:lang w:eastAsia="en-GB"/>
        </w:rPr>
        <w:t>(</w:t>
      </w:r>
      <w:r w:rsidRPr="00173E0A">
        <w:rPr>
          <w:color w:val="000000"/>
          <w:szCs w:val="24"/>
          <w:lang w:eastAsia="en-GB"/>
        </w:rPr>
        <w:t>section 14</w:t>
      </w:r>
      <w:r w:rsidR="00026218" w:rsidRPr="00173E0A">
        <w:rPr>
          <w:color w:val="000000"/>
          <w:szCs w:val="24"/>
          <w:lang w:eastAsia="en-GB"/>
        </w:rPr>
        <w:t>(2))</w:t>
      </w:r>
      <w:r w:rsidRPr="00173E0A">
        <w:rPr>
          <w:color w:val="000000"/>
          <w:szCs w:val="24"/>
          <w:lang w:eastAsia="en-GB"/>
        </w:rPr>
        <w:t>, o</w:t>
      </w:r>
      <w:r w:rsidR="00F954E9" w:rsidRPr="00173E0A">
        <w:rPr>
          <w:color w:val="000000"/>
          <w:szCs w:val="24"/>
          <w:lang w:eastAsia="en-GB"/>
        </w:rPr>
        <w:t>n 26 June 2014</w:t>
      </w:r>
      <w:r w:rsidRPr="00173E0A">
        <w:rPr>
          <w:color w:val="000000"/>
          <w:szCs w:val="24"/>
          <w:lang w:eastAsia="en-GB"/>
        </w:rPr>
        <w:t>,</w:t>
      </w:r>
      <w:r w:rsidR="00F954E9" w:rsidRPr="00173E0A">
        <w:rPr>
          <w:color w:val="000000"/>
          <w:szCs w:val="24"/>
          <w:lang w:eastAsia="en-GB"/>
        </w:rPr>
        <w:t xml:space="preserve"> the </w:t>
      </w:r>
      <w:r w:rsidR="00754324" w:rsidRPr="00173E0A">
        <w:rPr>
          <w:color w:val="000000"/>
          <w:szCs w:val="24"/>
          <w:lang w:eastAsia="en-GB"/>
        </w:rPr>
        <w:t>Ministry of Justice</w:t>
      </w:r>
      <w:r w:rsidR="00F954E9" w:rsidRPr="00173E0A">
        <w:rPr>
          <w:color w:val="000000"/>
          <w:szCs w:val="24"/>
          <w:lang w:eastAsia="en-GB"/>
        </w:rPr>
        <w:t xml:space="preserve"> issued a consultation paper, </w:t>
      </w:r>
      <w:r w:rsidR="00F954E9" w:rsidRPr="00173E0A">
        <w:rPr>
          <w:i/>
          <w:color w:val="000000"/>
          <w:szCs w:val="24"/>
          <w:lang w:eastAsia="en-GB"/>
        </w:rPr>
        <w:t xml:space="preserve">Marriages by </w:t>
      </w:r>
      <w:r w:rsidRPr="00173E0A">
        <w:rPr>
          <w:i/>
          <w:color w:val="000000"/>
          <w:szCs w:val="24"/>
          <w:lang w:eastAsia="en-GB"/>
        </w:rPr>
        <w:t>N</w:t>
      </w:r>
      <w:r w:rsidR="00F954E9" w:rsidRPr="00173E0A">
        <w:rPr>
          <w:i/>
          <w:color w:val="000000"/>
          <w:szCs w:val="24"/>
          <w:lang w:eastAsia="en-GB"/>
        </w:rPr>
        <w:t>on-</w:t>
      </w:r>
      <w:r w:rsidRPr="00173E0A">
        <w:rPr>
          <w:i/>
          <w:color w:val="000000"/>
          <w:szCs w:val="24"/>
          <w:lang w:eastAsia="en-GB"/>
        </w:rPr>
        <w:t>R</w:t>
      </w:r>
      <w:r w:rsidR="00F954E9" w:rsidRPr="00173E0A">
        <w:rPr>
          <w:i/>
          <w:color w:val="000000"/>
          <w:szCs w:val="24"/>
          <w:lang w:eastAsia="en-GB"/>
        </w:rPr>
        <w:t xml:space="preserve">eligious </w:t>
      </w:r>
      <w:r w:rsidRPr="00173E0A">
        <w:rPr>
          <w:i/>
          <w:color w:val="000000"/>
          <w:szCs w:val="24"/>
          <w:lang w:eastAsia="en-GB"/>
        </w:rPr>
        <w:t>B</w:t>
      </w:r>
      <w:r w:rsidR="00F954E9" w:rsidRPr="00173E0A">
        <w:rPr>
          <w:i/>
          <w:color w:val="000000"/>
          <w:szCs w:val="24"/>
          <w:lang w:eastAsia="en-GB"/>
        </w:rPr>
        <w:t xml:space="preserve">elief </w:t>
      </w:r>
      <w:r w:rsidRPr="00173E0A">
        <w:rPr>
          <w:i/>
          <w:color w:val="000000"/>
          <w:szCs w:val="24"/>
          <w:lang w:eastAsia="en-GB"/>
        </w:rPr>
        <w:t>O</w:t>
      </w:r>
      <w:r w:rsidR="00F954E9" w:rsidRPr="00173E0A">
        <w:rPr>
          <w:i/>
          <w:color w:val="000000"/>
          <w:szCs w:val="24"/>
          <w:lang w:eastAsia="en-GB"/>
        </w:rPr>
        <w:t>rganisations</w:t>
      </w:r>
      <w:r w:rsidR="00AF7175" w:rsidRPr="00173E0A">
        <w:rPr>
          <w:color w:val="000000"/>
          <w:szCs w:val="24"/>
          <w:lang w:eastAsia="en-GB"/>
        </w:rPr>
        <w:t xml:space="preserve">.  </w:t>
      </w:r>
      <w:r w:rsidR="00545D90" w:rsidRPr="00173E0A">
        <w:rPr>
          <w:color w:val="000000"/>
          <w:szCs w:val="24"/>
          <w:lang w:eastAsia="en-GB"/>
        </w:rPr>
        <w:t xml:space="preserve">The </w:t>
      </w:r>
      <w:r w:rsidR="00027709" w:rsidRPr="00173E0A">
        <w:rPr>
          <w:color w:val="000000"/>
          <w:szCs w:val="24"/>
          <w:lang w:eastAsia="en-GB"/>
        </w:rPr>
        <w:t xml:space="preserve">primary </w:t>
      </w:r>
      <w:r w:rsidR="00545D90" w:rsidRPr="00173E0A">
        <w:rPr>
          <w:color w:val="000000"/>
          <w:szCs w:val="24"/>
          <w:lang w:eastAsia="en-GB"/>
        </w:rPr>
        <w:t>aim of the consultation was explained as being to seek views on whether there was a substantial case for permitting legally valid marriage ceremonies for those of humanist belief and</w:t>
      </w:r>
      <w:r w:rsidR="0015405D" w:rsidRPr="00173E0A">
        <w:rPr>
          <w:color w:val="000000"/>
          <w:szCs w:val="24"/>
          <w:lang w:eastAsia="en-GB"/>
        </w:rPr>
        <w:t xml:space="preserve"> potentially other non-religious belief. </w:t>
      </w:r>
      <w:r w:rsidR="00482974" w:rsidRPr="00173E0A">
        <w:rPr>
          <w:color w:val="000000"/>
          <w:szCs w:val="24"/>
          <w:lang w:eastAsia="en-GB"/>
        </w:rPr>
        <w:t xml:space="preserve"> </w:t>
      </w:r>
      <w:r w:rsidR="00B77FB7" w:rsidRPr="00173E0A">
        <w:rPr>
          <w:color w:val="000000"/>
          <w:szCs w:val="24"/>
          <w:lang w:eastAsia="en-GB"/>
        </w:rPr>
        <w:t xml:space="preserve">In explaining the purpose of the review and providing an overview of current arrangements, </w:t>
      </w:r>
      <w:r w:rsidR="00BC46A8" w:rsidRPr="00173E0A">
        <w:rPr>
          <w:color w:val="000000"/>
          <w:szCs w:val="24"/>
          <w:lang w:eastAsia="en-GB"/>
        </w:rPr>
        <w:t>the consultation paper explained as follows:</w:t>
      </w:r>
    </w:p>
    <w:p w14:paraId="5DE48906" w14:textId="77777777" w:rsidR="005B0EDC" w:rsidRPr="00173E0A" w:rsidRDefault="006B62BF" w:rsidP="000768DC">
      <w:pPr>
        <w:pStyle w:val="Quote"/>
        <w:rPr>
          <w:szCs w:val="24"/>
        </w:rPr>
      </w:pPr>
      <w:r w:rsidRPr="00173E0A">
        <w:rPr>
          <w:szCs w:val="24"/>
        </w:rPr>
        <w:t>“</w:t>
      </w:r>
      <w:r w:rsidR="004C5589" w:rsidRPr="00173E0A">
        <w:rPr>
          <w:szCs w:val="24"/>
        </w:rPr>
        <w:t xml:space="preserve">The law on the solemnization of marriage in England and Wales is governed by the Marriage Act 1949 (the 1949 Act). The 1949 Act provides for religious marriage ceremonies (marriage according to the rites and ceremonies of the Church of England and the Church in Wales; the usages (religious customs) of the Jews and Society of Friends (Quakers); and marriage according to the rites of any other religion in their place of worship that has been registered for the purpose) and civil marriage ceremonies (marriages solemnized in the presence of a superintendent registrar and registrar in a register office or premises approved for the purpose such as a stately home or hotel). In most cases, the place in which a marriage takes place is central to its legal validity. </w:t>
      </w:r>
    </w:p>
    <w:p w14:paraId="569EC874" w14:textId="36A133F0" w:rsidR="004C5589" w:rsidRPr="00173E0A" w:rsidRDefault="004C5589" w:rsidP="000768DC">
      <w:pPr>
        <w:pStyle w:val="Quote"/>
        <w:rPr>
          <w:color w:val="000000"/>
          <w:szCs w:val="24"/>
          <w:lang w:eastAsia="en-GB"/>
        </w:rPr>
      </w:pPr>
      <w:r w:rsidRPr="00173E0A">
        <w:rPr>
          <w:szCs w:val="24"/>
        </w:rPr>
        <w:lastRenderedPageBreak/>
        <w:t>At present, the British Humanist Association (</w:t>
      </w:r>
      <w:proofErr w:type="spellStart"/>
      <w:r w:rsidRPr="00173E0A">
        <w:rPr>
          <w:szCs w:val="24"/>
        </w:rPr>
        <w:t>BHA</w:t>
      </w:r>
      <w:proofErr w:type="spellEnd"/>
      <w:r w:rsidRPr="00173E0A">
        <w:rPr>
          <w:szCs w:val="24"/>
        </w:rPr>
        <w:t xml:space="preserve">) cannot marry couples in a legally valid humanist ceremony in England and Wales. They currently may carry out ceremonies in line with humanist beliefs but these do not have legal force and if the parties wish to be legally married they must do so in a ceremony which complies with the provisions of the 1949 Act (such as a civil ceremony by a registrar). The </w:t>
      </w:r>
      <w:proofErr w:type="spellStart"/>
      <w:r w:rsidRPr="00173E0A">
        <w:rPr>
          <w:szCs w:val="24"/>
        </w:rPr>
        <w:t>BHA</w:t>
      </w:r>
      <w:proofErr w:type="spellEnd"/>
      <w:r w:rsidRPr="00173E0A">
        <w:rPr>
          <w:szCs w:val="24"/>
        </w:rPr>
        <w:t xml:space="preserve"> is campaigning for the law to be changed to allow humanist celebrants to conduct legally valid marriage ceremonies in England and Wales. Since June 2005, under section 12 of the Marriage (Scotland) Act 1977, the Registrar General for Scotland has granted temporary authorisation to certain humanist celebrants to conduct legally recognised marriages. The Marriage and Civil Partnership (Scotland) Act 2014 broadens the “religious” category of marriage to “religious or belief” and so will place humanist and any other belief bodies on the same footing as religious organisations. During the passage of the Marriage (Same Sex Couples) Act 2013 </w:t>
      </w:r>
      <w:proofErr w:type="gramStart"/>
      <w:r w:rsidRPr="00173E0A">
        <w:rPr>
          <w:szCs w:val="24"/>
        </w:rPr>
        <w:t>a number of</w:t>
      </w:r>
      <w:proofErr w:type="gramEnd"/>
      <w:r w:rsidRPr="00173E0A">
        <w:rPr>
          <w:szCs w:val="24"/>
        </w:rPr>
        <w:t xml:space="preserve"> amendments were tabled to allow the British Humanist Association, and potentially any other non-religious belief organisation, to solemnize marriages. In listening to and acknowledging the level of support for and issues raised concerning belief marriages within the </w:t>
      </w:r>
      <w:r w:rsidR="005C6952">
        <w:rPr>
          <w:szCs w:val="24"/>
        </w:rPr>
        <w:t>Parliament</w:t>
      </w:r>
      <w:r w:rsidRPr="00173E0A">
        <w:rPr>
          <w:szCs w:val="24"/>
        </w:rPr>
        <w:t>ary debates in both Houses, the Government accepted that the issue</w:t>
      </w:r>
      <w:r w:rsidR="006B62BF" w:rsidRPr="00173E0A">
        <w:rPr>
          <w:szCs w:val="24"/>
        </w:rPr>
        <w:t xml:space="preserve"> should be looked at further.”</w:t>
      </w:r>
    </w:p>
    <w:p w14:paraId="686DF2CA" w14:textId="5357D5D6" w:rsidR="00780EBA" w:rsidRDefault="001739D7" w:rsidP="000768DC">
      <w:pPr>
        <w:pStyle w:val="ParaLevel1"/>
        <w:rPr>
          <w:color w:val="000000"/>
          <w:szCs w:val="24"/>
          <w:lang w:eastAsia="en-GB"/>
        </w:rPr>
      </w:pPr>
      <w:r w:rsidRPr="00173E0A">
        <w:rPr>
          <w:color w:val="000000"/>
          <w:szCs w:val="24"/>
          <w:lang w:eastAsia="en-GB"/>
        </w:rPr>
        <w:t>T</w:t>
      </w:r>
      <w:r w:rsidR="008F3A4A" w:rsidRPr="00173E0A">
        <w:rPr>
          <w:color w:val="000000"/>
          <w:szCs w:val="24"/>
          <w:lang w:eastAsia="en-GB"/>
        </w:rPr>
        <w:t>he response to th</w:t>
      </w:r>
      <w:r w:rsidRPr="00173E0A">
        <w:rPr>
          <w:color w:val="000000"/>
          <w:szCs w:val="24"/>
          <w:lang w:eastAsia="en-GB"/>
        </w:rPr>
        <w:t>is</w:t>
      </w:r>
      <w:r w:rsidR="008F3A4A" w:rsidRPr="00173E0A">
        <w:rPr>
          <w:color w:val="000000"/>
          <w:szCs w:val="24"/>
          <w:lang w:eastAsia="en-GB"/>
        </w:rPr>
        <w:t xml:space="preserve"> consultation was positive</w:t>
      </w:r>
      <w:r w:rsidR="001207A6" w:rsidRPr="00173E0A">
        <w:rPr>
          <w:color w:val="000000"/>
          <w:szCs w:val="24"/>
          <w:lang w:eastAsia="en-GB"/>
        </w:rPr>
        <w:t xml:space="preserve">: </w:t>
      </w:r>
      <w:r w:rsidR="00E05882" w:rsidRPr="00173E0A">
        <w:rPr>
          <w:color w:val="000000"/>
          <w:szCs w:val="24"/>
          <w:lang w:eastAsia="en-GB"/>
        </w:rPr>
        <w:t>when asked “</w:t>
      </w:r>
      <w:r w:rsidR="00E05882" w:rsidRPr="00173E0A">
        <w:rPr>
          <w:i/>
          <w:iCs/>
          <w:color w:val="000000"/>
          <w:szCs w:val="24"/>
          <w:lang w:eastAsia="en-GB"/>
        </w:rPr>
        <w:t xml:space="preserve">Is there a substantial case for a change in the law to establish non-religious belief ceremonies as a third type of legal </w:t>
      </w:r>
      <w:r w:rsidR="009D7984" w:rsidRPr="00173E0A">
        <w:rPr>
          <w:i/>
          <w:iCs/>
          <w:color w:val="000000"/>
          <w:szCs w:val="24"/>
          <w:lang w:eastAsia="en-GB"/>
        </w:rPr>
        <w:t>ceremony</w:t>
      </w:r>
      <w:r w:rsidR="00E05882" w:rsidRPr="00173E0A">
        <w:rPr>
          <w:i/>
          <w:iCs/>
          <w:color w:val="000000"/>
          <w:szCs w:val="24"/>
          <w:lang w:eastAsia="en-GB"/>
        </w:rPr>
        <w:t xml:space="preserve">, </w:t>
      </w:r>
      <w:r w:rsidR="009D7984" w:rsidRPr="00173E0A">
        <w:rPr>
          <w:i/>
          <w:iCs/>
          <w:color w:val="000000"/>
          <w:szCs w:val="24"/>
          <w:lang w:eastAsia="en-GB"/>
        </w:rPr>
        <w:t>alongside religious and civil ceremonies, for getting married in England and Wales?</w:t>
      </w:r>
      <w:r w:rsidR="004842F6" w:rsidRPr="00173E0A">
        <w:rPr>
          <w:color w:val="000000"/>
          <w:szCs w:val="24"/>
          <w:lang w:eastAsia="en-GB"/>
        </w:rPr>
        <w:t>” 95.4% said “</w:t>
      </w:r>
      <w:r w:rsidR="004842F6" w:rsidRPr="00173E0A">
        <w:rPr>
          <w:i/>
          <w:iCs/>
          <w:color w:val="000000"/>
          <w:szCs w:val="24"/>
          <w:lang w:eastAsia="en-GB"/>
        </w:rPr>
        <w:t>yes</w:t>
      </w:r>
      <w:r w:rsidR="004842F6" w:rsidRPr="00173E0A">
        <w:rPr>
          <w:color w:val="000000"/>
          <w:szCs w:val="24"/>
          <w:lang w:eastAsia="en-GB"/>
        </w:rPr>
        <w:t>”</w:t>
      </w:r>
      <w:r w:rsidR="001207A6" w:rsidRPr="00173E0A">
        <w:rPr>
          <w:color w:val="000000"/>
          <w:szCs w:val="24"/>
          <w:lang w:eastAsia="en-GB"/>
        </w:rPr>
        <w:t>.  T</w:t>
      </w:r>
      <w:r w:rsidR="005A485A" w:rsidRPr="00173E0A">
        <w:rPr>
          <w:color w:val="000000"/>
          <w:szCs w:val="24"/>
          <w:lang w:eastAsia="en-GB"/>
        </w:rPr>
        <w:t xml:space="preserve">he </w:t>
      </w:r>
      <w:r w:rsidR="00BF1C6D">
        <w:rPr>
          <w:color w:val="000000"/>
          <w:szCs w:val="24"/>
          <w:lang w:eastAsia="en-GB"/>
        </w:rPr>
        <w:t>G</w:t>
      </w:r>
      <w:r w:rsidR="005A485A" w:rsidRPr="00173E0A">
        <w:rPr>
          <w:color w:val="000000"/>
          <w:szCs w:val="24"/>
          <w:lang w:eastAsia="en-GB"/>
        </w:rPr>
        <w:t>overnment decided</w:t>
      </w:r>
      <w:r w:rsidR="001207A6" w:rsidRPr="00173E0A">
        <w:rPr>
          <w:color w:val="000000"/>
          <w:szCs w:val="24"/>
          <w:lang w:eastAsia="en-GB"/>
        </w:rPr>
        <w:t>, however,</w:t>
      </w:r>
      <w:r w:rsidR="005A485A" w:rsidRPr="00173E0A">
        <w:rPr>
          <w:color w:val="000000"/>
          <w:szCs w:val="24"/>
          <w:lang w:eastAsia="en-GB"/>
        </w:rPr>
        <w:t xml:space="preserve"> not to proceed with reform at that stage</w:t>
      </w:r>
      <w:r w:rsidR="007F45CE" w:rsidRPr="00173E0A">
        <w:rPr>
          <w:color w:val="000000"/>
          <w:szCs w:val="24"/>
          <w:lang w:eastAsia="en-GB"/>
        </w:rPr>
        <w:t xml:space="preserve">, considering that </w:t>
      </w:r>
      <w:proofErr w:type="gramStart"/>
      <w:r w:rsidR="00A47D64" w:rsidRPr="00173E0A">
        <w:rPr>
          <w:color w:val="000000"/>
          <w:szCs w:val="24"/>
          <w:lang w:eastAsia="en-GB"/>
        </w:rPr>
        <w:t>a number of</w:t>
      </w:r>
      <w:proofErr w:type="gramEnd"/>
      <w:r w:rsidR="00A47D64" w:rsidRPr="00173E0A">
        <w:rPr>
          <w:color w:val="000000"/>
          <w:szCs w:val="24"/>
          <w:lang w:eastAsia="en-GB"/>
        </w:rPr>
        <w:t xml:space="preserve"> difficult questions remained </w:t>
      </w:r>
      <w:r w:rsidR="005856B9" w:rsidRPr="00173E0A">
        <w:rPr>
          <w:color w:val="000000"/>
          <w:szCs w:val="24"/>
          <w:lang w:eastAsia="en-GB"/>
        </w:rPr>
        <w:t xml:space="preserve">in ensuring that the </w:t>
      </w:r>
      <w:r w:rsidR="00A47D64" w:rsidRPr="00173E0A">
        <w:rPr>
          <w:color w:val="000000"/>
          <w:szCs w:val="24"/>
          <w:lang w:eastAsia="en-GB"/>
        </w:rPr>
        <w:t>implementation</w:t>
      </w:r>
      <w:r w:rsidR="005856B9" w:rsidRPr="00173E0A">
        <w:rPr>
          <w:color w:val="000000"/>
          <w:szCs w:val="24"/>
          <w:lang w:eastAsia="en-GB"/>
        </w:rPr>
        <w:t xml:space="preserve"> of any reform </w:t>
      </w:r>
      <w:r w:rsidR="00B654F9" w:rsidRPr="00173E0A">
        <w:rPr>
          <w:color w:val="000000"/>
          <w:szCs w:val="24"/>
          <w:lang w:eastAsia="en-GB"/>
        </w:rPr>
        <w:t>was fair to all and did not create any new anomalies in the law</w:t>
      </w:r>
      <w:r w:rsidR="00C97CEB" w:rsidRPr="00173E0A">
        <w:rPr>
          <w:color w:val="000000"/>
          <w:szCs w:val="24"/>
          <w:lang w:eastAsia="en-GB"/>
        </w:rPr>
        <w:t xml:space="preserve"> -</w:t>
      </w:r>
      <w:r w:rsidR="00B654F9" w:rsidRPr="00173E0A">
        <w:rPr>
          <w:color w:val="000000"/>
          <w:szCs w:val="24"/>
          <w:lang w:eastAsia="en-GB"/>
        </w:rPr>
        <w:t xml:space="preserve"> see the </w:t>
      </w:r>
      <w:r w:rsidR="00BF1C6D">
        <w:rPr>
          <w:color w:val="000000"/>
          <w:szCs w:val="24"/>
          <w:lang w:eastAsia="en-GB"/>
        </w:rPr>
        <w:t>G</w:t>
      </w:r>
      <w:r w:rsidR="00B654F9" w:rsidRPr="00173E0A">
        <w:rPr>
          <w:color w:val="000000"/>
          <w:szCs w:val="24"/>
          <w:lang w:eastAsia="en-GB"/>
        </w:rPr>
        <w:t>overnment’s response of 18 December 2014</w:t>
      </w:r>
      <w:r w:rsidR="00C8149B">
        <w:rPr>
          <w:color w:val="000000"/>
          <w:szCs w:val="24"/>
          <w:lang w:eastAsia="en-GB"/>
        </w:rPr>
        <w:t xml:space="preserve">.  </w:t>
      </w:r>
      <w:proofErr w:type="gramStart"/>
      <w:r w:rsidR="00C8149B">
        <w:rPr>
          <w:color w:val="000000"/>
          <w:szCs w:val="24"/>
          <w:lang w:eastAsia="en-GB"/>
        </w:rPr>
        <w:t>I</w:t>
      </w:r>
      <w:r w:rsidR="00716700" w:rsidRPr="00173E0A">
        <w:rPr>
          <w:color w:val="000000"/>
          <w:szCs w:val="24"/>
          <w:lang w:eastAsia="en-GB"/>
        </w:rPr>
        <w:t xml:space="preserve">n particular, </w:t>
      </w:r>
      <w:r w:rsidR="00EB5863">
        <w:rPr>
          <w:color w:val="000000"/>
          <w:szCs w:val="24"/>
          <w:lang w:eastAsia="en-GB"/>
        </w:rPr>
        <w:t>the</w:t>
      </w:r>
      <w:proofErr w:type="gramEnd"/>
      <w:r w:rsidR="00EB5863">
        <w:rPr>
          <w:color w:val="000000"/>
          <w:szCs w:val="24"/>
          <w:lang w:eastAsia="en-GB"/>
        </w:rPr>
        <w:t xml:space="preserve"> Government identified a key difficulty in relation to where belief marriages might take place</w:t>
      </w:r>
      <w:r w:rsidR="00C538F3">
        <w:rPr>
          <w:color w:val="000000"/>
          <w:szCs w:val="24"/>
          <w:lang w:eastAsia="en-GB"/>
        </w:rPr>
        <w:t xml:space="preserve">.  As has been seen, </w:t>
      </w:r>
      <w:r w:rsidR="00B62410">
        <w:rPr>
          <w:color w:val="000000"/>
          <w:szCs w:val="24"/>
          <w:lang w:eastAsia="en-GB"/>
        </w:rPr>
        <w:t>the “</w:t>
      </w:r>
      <w:r w:rsidR="00B62410" w:rsidRPr="00732230">
        <w:rPr>
          <w:i/>
          <w:iCs/>
          <w:color w:val="000000"/>
          <w:szCs w:val="24"/>
          <w:lang w:eastAsia="en-GB"/>
        </w:rPr>
        <w:t>Usages for humanist marriages</w:t>
      </w:r>
      <w:r w:rsidR="00B62410">
        <w:rPr>
          <w:color w:val="000000"/>
          <w:szCs w:val="24"/>
          <w:lang w:eastAsia="en-GB"/>
        </w:rPr>
        <w:t xml:space="preserve">” </w:t>
      </w:r>
      <w:r w:rsidR="007A42AB">
        <w:rPr>
          <w:color w:val="000000"/>
          <w:szCs w:val="24"/>
          <w:lang w:eastAsia="en-GB"/>
        </w:rPr>
        <w:t xml:space="preserve">document </w:t>
      </w:r>
      <w:r w:rsidR="00290C85">
        <w:rPr>
          <w:color w:val="000000"/>
          <w:szCs w:val="24"/>
          <w:lang w:eastAsia="en-GB"/>
        </w:rPr>
        <w:t xml:space="preserve">produced by Humanists UK </w:t>
      </w:r>
      <w:r w:rsidR="00B62410">
        <w:rPr>
          <w:color w:val="000000"/>
          <w:szCs w:val="24"/>
          <w:lang w:eastAsia="en-GB"/>
        </w:rPr>
        <w:t xml:space="preserve">places </w:t>
      </w:r>
      <w:r w:rsidR="00732230">
        <w:rPr>
          <w:color w:val="000000"/>
          <w:szCs w:val="24"/>
          <w:lang w:eastAsia="en-GB"/>
        </w:rPr>
        <w:t xml:space="preserve">emphasis on the couple’s freedom to choose a location for their wedding that is of </w:t>
      </w:r>
      <w:r w:rsidR="00D759CC">
        <w:rPr>
          <w:color w:val="000000"/>
          <w:szCs w:val="24"/>
          <w:lang w:eastAsia="en-GB"/>
        </w:rPr>
        <w:t xml:space="preserve">personal </w:t>
      </w:r>
      <w:r w:rsidR="00732230">
        <w:rPr>
          <w:color w:val="000000"/>
          <w:szCs w:val="24"/>
          <w:lang w:eastAsia="en-GB"/>
        </w:rPr>
        <w:t>significance to them</w:t>
      </w:r>
      <w:r w:rsidR="00961236">
        <w:rPr>
          <w:color w:val="000000"/>
          <w:szCs w:val="24"/>
          <w:lang w:eastAsia="en-GB"/>
        </w:rPr>
        <w:t xml:space="preserve">.  </w:t>
      </w:r>
      <w:r w:rsidR="00484F7E">
        <w:rPr>
          <w:color w:val="000000"/>
          <w:szCs w:val="24"/>
          <w:lang w:eastAsia="en-GB"/>
        </w:rPr>
        <w:t xml:space="preserve">Acknowledging </w:t>
      </w:r>
      <w:r w:rsidR="00757E8F">
        <w:rPr>
          <w:color w:val="000000"/>
          <w:szCs w:val="24"/>
          <w:lang w:eastAsia="en-GB"/>
        </w:rPr>
        <w:t xml:space="preserve">this preference, and the fact </w:t>
      </w:r>
      <w:r w:rsidR="00484F7E">
        <w:rPr>
          <w:color w:val="000000"/>
          <w:szCs w:val="24"/>
          <w:lang w:eastAsia="en-GB"/>
        </w:rPr>
        <w:t xml:space="preserve">that (unlike </w:t>
      </w:r>
      <w:r w:rsidR="00A03412">
        <w:rPr>
          <w:color w:val="000000"/>
          <w:szCs w:val="24"/>
          <w:lang w:eastAsia="en-GB"/>
        </w:rPr>
        <w:t xml:space="preserve">potential religious comparators) humanists did not tend to </w:t>
      </w:r>
      <w:r w:rsidR="0049351B">
        <w:rPr>
          <w:color w:val="000000"/>
          <w:szCs w:val="24"/>
          <w:lang w:eastAsia="en-GB"/>
        </w:rPr>
        <w:t>own or use</w:t>
      </w:r>
      <w:r w:rsidR="00A03412">
        <w:rPr>
          <w:color w:val="000000"/>
          <w:szCs w:val="24"/>
          <w:lang w:eastAsia="en-GB"/>
        </w:rPr>
        <w:t xml:space="preserve"> buildings </w:t>
      </w:r>
      <w:r w:rsidR="001A2201">
        <w:rPr>
          <w:color w:val="000000"/>
          <w:szCs w:val="24"/>
          <w:lang w:eastAsia="en-GB"/>
        </w:rPr>
        <w:t>that</w:t>
      </w:r>
      <w:r w:rsidR="00506BFE">
        <w:rPr>
          <w:color w:val="000000"/>
          <w:szCs w:val="24"/>
          <w:lang w:eastAsia="en-GB"/>
        </w:rPr>
        <w:t xml:space="preserve"> could then be “registered”</w:t>
      </w:r>
      <w:r w:rsidR="00757E8F">
        <w:rPr>
          <w:color w:val="000000"/>
          <w:szCs w:val="24"/>
          <w:lang w:eastAsia="en-GB"/>
        </w:rPr>
        <w:t xml:space="preserve">, the Government </w:t>
      </w:r>
      <w:r w:rsidR="00923933">
        <w:rPr>
          <w:color w:val="000000"/>
          <w:szCs w:val="24"/>
          <w:lang w:eastAsia="en-GB"/>
        </w:rPr>
        <w:t xml:space="preserve">considered this gave rise to a </w:t>
      </w:r>
      <w:proofErr w:type="gramStart"/>
      <w:r w:rsidR="00923933">
        <w:rPr>
          <w:color w:val="000000"/>
          <w:szCs w:val="24"/>
          <w:lang w:eastAsia="en-GB"/>
        </w:rPr>
        <w:t>particular difficulty</w:t>
      </w:r>
      <w:proofErr w:type="gramEnd"/>
      <w:r w:rsidR="00923933">
        <w:rPr>
          <w:color w:val="000000"/>
          <w:szCs w:val="24"/>
          <w:lang w:eastAsia="en-GB"/>
        </w:rPr>
        <w:t xml:space="preserve"> that was not capable of </w:t>
      </w:r>
      <w:r w:rsidR="0049351B">
        <w:rPr>
          <w:color w:val="000000"/>
          <w:szCs w:val="24"/>
          <w:lang w:eastAsia="en-GB"/>
        </w:rPr>
        <w:t xml:space="preserve">immediate </w:t>
      </w:r>
      <w:r w:rsidR="00923933">
        <w:rPr>
          <w:color w:val="000000"/>
          <w:szCs w:val="24"/>
          <w:lang w:eastAsia="en-GB"/>
        </w:rPr>
        <w:t>resolution through the order-making power permitted under section 14(4) of the 2013 Ac</w:t>
      </w:r>
      <w:r w:rsidR="002606B1">
        <w:rPr>
          <w:color w:val="000000"/>
          <w:szCs w:val="24"/>
          <w:lang w:eastAsia="en-GB"/>
        </w:rPr>
        <w:t xml:space="preserve">t.  </w:t>
      </w:r>
      <w:r w:rsidR="00C8527D">
        <w:rPr>
          <w:color w:val="000000"/>
          <w:szCs w:val="24"/>
          <w:lang w:eastAsia="en-GB"/>
        </w:rPr>
        <w:t xml:space="preserve">Simply extending </w:t>
      </w:r>
      <w:r w:rsidR="00BD6CAF">
        <w:rPr>
          <w:color w:val="000000"/>
          <w:szCs w:val="24"/>
          <w:lang w:eastAsia="en-GB"/>
        </w:rPr>
        <w:t>legal recognition to marriages carried out “</w:t>
      </w:r>
      <w:r w:rsidR="00BD6CAF" w:rsidRPr="009C24D9">
        <w:rPr>
          <w:i/>
          <w:iCs/>
          <w:color w:val="000000"/>
          <w:szCs w:val="24"/>
          <w:lang w:eastAsia="en-GB"/>
        </w:rPr>
        <w:t>according to the usages of Humanists UK</w:t>
      </w:r>
      <w:r w:rsidR="00BD6CAF">
        <w:rPr>
          <w:color w:val="000000"/>
          <w:szCs w:val="24"/>
          <w:lang w:eastAsia="en-GB"/>
        </w:rPr>
        <w:t xml:space="preserve">” would give rise to </w:t>
      </w:r>
      <w:r w:rsidR="004F4512">
        <w:rPr>
          <w:color w:val="000000"/>
          <w:szCs w:val="24"/>
          <w:lang w:eastAsia="en-GB"/>
        </w:rPr>
        <w:t xml:space="preserve">yet </w:t>
      </w:r>
      <w:r w:rsidR="00BD6CAF">
        <w:rPr>
          <w:color w:val="000000"/>
          <w:szCs w:val="24"/>
          <w:lang w:eastAsia="en-GB"/>
        </w:rPr>
        <w:t xml:space="preserve">further differences in treatment </w:t>
      </w:r>
      <w:r w:rsidR="004F4512">
        <w:rPr>
          <w:color w:val="000000"/>
          <w:szCs w:val="24"/>
          <w:lang w:eastAsia="en-GB"/>
        </w:rPr>
        <w:t>between different religious and non-religious belief groups</w:t>
      </w:r>
      <w:r w:rsidR="009C24D9">
        <w:rPr>
          <w:color w:val="000000"/>
          <w:szCs w:val="24"/>
          <w:lang w:eastAsia="en-GB"/>
        </w:rPr>
        <w:t xml:space="preserve"> and a </w:t>
      </w:r>
      <w:r w:rsidR="00A04682">
        <w:rPr>
          <w:color w:val="000000"/>
          <w:szCs w:val="24"/>
          <w:lang w:eastAsia="en-GB"/>
        </w:rPr>
        <w:t>change to the law</w:t>
      </w:r>
      <w:r w:rsidR="00D80420">
        <w:rPr>
          <w:color w:val="000000"/>
          <w:szCs w:val="24"/>
          <w:lang w:eastAsia="en-GB"/>
        </w:rPr>
        <w:t xml:space="preserve"> -</w:t>
      </w:r>
      <w:r w:rsidR="00A04682">
        <w:rPr>
          <w:color w:val="000000"/>
          <w:szCs w:val="24"/>
          <w:lang w:eastAsia="en-GB"/>
        </w:rPr>
        <w:t xml:space="preserve"> </w:t>
      </w:r>
      <w:r w:rsidR="00704355">
        <w:rPr>
          <w:color w:val="000000"/>
          <w:szCs w:val="24"/>
          <w:lang w:eastAsia="en-GB"/>
        </w:rPr>
        <w:t>such that legal recognition depended upon the registration of a celebrant rather than a building</w:t>
      </w:r>
      <w:r w:rsidR="00D80420">
        <w:rPr>
          <w:color w:val="000000"/>
          <w:szCs w:val="24"/>
          <w:lang w:eastAsia="en-GB"/>
        </w:rPr>
        <w:t xml:space="preserve"> -</w:t>
      </w:r>
      <w:r w:rsidR="00704355">
        <w:rPr>
          <w:color w:val="000000"/>
          <w:szCs w:val="24"/>
          <w:lang w:eastAsia="en-GB"/>
        </w:rPr>
        <w:t xml:space="preserve"> raised yet wider</w:t>
      </w:r>
      <w:r w:rsidR="00EB289A">
        <w:rPr>
          <w:color w:val="000000"/>
          <w:szCs w:val="24"/>
          <w:lang w:eastAsia="en-GB"/>
        </w:rPr>
        <w:t xml:space="preserve"> issues, </w:t>
      </w:r>
      <w:proofErr w:type="gramStart"/>
      <w:r w:rsidR="00EB289A">
        <w:rPr>
          <w:color w:val="000000"/>
          <w:szCs w:val="24"/>
          <w:lang w:eastAsia="en-GB"/>
        </w:rPr>
        <w:t>in particular as</w:t>
      </w:r>
      <w:proofErr w:type="gramEnd"/>
      <w:r w:rsidR="00EB289A">
        <w:rPr>
          <w:color w:val="000000"/>
          <w:szCs w:val="24"/>
          <w:lang w:eastAsia="en-GB"/>
        </w:rPr>
        <w:t xml:space="preserve"> to the safeguards that would need to be put in place.</w:t>
      </w:r>
      <w:r w:rsidR="00CA01C4">
        <w:rPr>
          <w:color w:val="000000"/>
          <w:szCs w:val="24"/>
          <w:lang w:eastAsia="en-GB"/>
        </w:rPr>
        <w:t xml:space="preserve"> </w:t>
      </w:r>
      <w:r w:rsidR="004F4512">
        <w:rPr>
          <w:color w:val="000000"/>
          <w:szCs w:val="24"/>
          <w:lang w:eastAsia="en-GB"/>
        </w:rPr>
        <w:t xml:space="preserve"> </w:t>
      </w:r>
      <w:r w:rsidR="00295712">
        <w:rPr>
          <w:color w:val="000000"/>
          <w:szCs w:val="24"/>
          <w:lang w:eastAsia="en-GB"/>
        </w:rPr>
        <w:t>T</w:t>
      </w:r>
      <w:r w:rsidR="004062A3">
        <w:rPr>
          <w:color w:val="000000"/>
          <w:szCs w:val="24"/>
          <w:lang w:eastAsia="en-GB"/>
        </w:rPr>
        <w:t>he position was different in Scotland (where humanist marriages had been given legal recognition)</w:t>
      </w:r>
      <w:r w:rsidR="00295712">
        <w:rPr>
          <w:color w:val="000000"/>
          <w:szCs w:val="24"/>
          <w:lang w:eastAsia="en-GB"/>
        </w:rPr>
        <w:t>,</w:t>
      </w:r>
      <w:r w:rsidR="007A10F1">
        <w:rPr>
          <w:color w:val="000000"/>
          <w:szCs w:val="24"/>
          <w:lang w:eastAsia="en-GB"/>
        </w:rPr>
        <w:t xml:space="preserve"> as the law there allowed for the registration of individual celebrants</w:t>
      </w:r>
      <w:r w:rsidR="00024688">
        <w:rPr>
          <w:color w:val="000000"/>
          <w:szCs w:val="24"/>
          <w:lang w:eastAsia="en-GB"/>
        </w:rPr>
        <w:t>,</w:t>
      </w:r>
      <w:r w:rsidR="00CA01C4">
        <w:rPr>
          <w:color w:val="000000"/>
          <w:szCs w:val="24"/>
          <w:lang w:eastAsia="en-GB"/>
        </w:rPr>
        <w:t xml:space="preserve"> but </w:t>
      </w:r>
      <w:r w:rsidR="00295712">
        <w:rPr>
          <w:color w:val="000000"/>
          <w:szCs w:val="24"/>
          <w:lang w:eastAsia="en-GB"/>
        </w:rPr>
        <w:t xml:space="preserve">the Government noted that safeguarding concerns had </w:t>
      </w:r>
      <w:r w:rsidR="00AB6B64">
        <w:rPr>
          <w:color w:val="000000"/>
          <w:szCs w:val="24"/>
          <w:lang w:eastAsia="en-GB"/>
        </w:rPr>
        <w:t xml:space="preserve">also </w:t>
      </w:r>
      <w:r w:rsidR="00295712">
        <w:rPr>
          <w:color w:val="000000"/>
          <w:szCs w:val="24"/>
          <w:lang w:eastAsia="en-GB"/>
        </w:rPr>
        <w:t>been raised in that jurisdiction</w:t>
      </w:r>
      <w:r w:rsidR="00780EBA">
        <w:rPr>
          <w:color w:val="000000"/>
          <w:szCs w:val="24"/>
          <w:lang w:eastAsia="en-GB"/>
        </w:rPr>
        <w:t xml:space="preserve">. </w:t>
      </w:r>
    </w:p>
    <w:p w14:paraId="6BA96333" w14:textId="1EA9A8C1" w:rsidR="00377536" w:rsidRPr="00173E0A" w:rsidRDefault="00E7705F" w:rsidP="000768DC">
      <w:pPr>
        <w:pStyle w:val="ParaLevel1"/>
        <w:rPr>
          <w:color w:val="000000"/>
          <w:szCs w:val="24"/>
          <w:lang w:eastAsia="en-GB"/>
        </w:rPr>
      </w:pPr>
      <w:r>
        <w:rPr>
          <w:color w:val="000000"/>
          <w:szCs w:val="24"/>
          <w:lang w:eastAsia="en-GB"/>
        </w:rPr>
        <w:lastRenderedPageBreak/>
        <w:t>I</w:t>
      </w:r>
      <w:r w:rsidR="00C8149B">
        <w:rPr>
          <w:color w:val="000000"/>
          <w:szCs w:val="24"/>
          <w:lang w:eastAsia="en-GB"/>
        </w:rPr>
        <w:t xml:space="preserve">n setting out </w:t>
      </w:r>
      <w:r w:rsidR="00D0629D" w:rsidRPr="00173E0A">
        <w:rPr>
          <w:color w:val="000000"/>
          <w:szCs w:val="24"/>
          <w:lang w:eastAsia="en-GB"/>
        </w:rPr>
        <w:t>its conclusions</w:t>
      </w:r>
      <w:r w:rsidR="00C8149B">
        <w:rPr>
          <w:color w:val="000000"/>
          <w:szCs w:val="24"/>
          <w:lang w:eastAsia="en-GB"/>
        </w:rPr>
        <w:t xml:space="preserve">, the </w:t>
      </w:r>
      <w:r w:rsidR="00BF1C6D">
        <w:rPr>
          <w:color w:val="000000"/>
          <w:szCs w:val="24"/>
          <w:lang w:eastAsia="en-GB"/>
        </w:rPr>
        <w:t>G</w:t>
      </w:r>
      <w:r w:rsidR="00C8149B">
        <w:rPr>
          <w:color w:val="000000"/>
          <w:szCs w:val="24"/>
          <w:lang w:eastAsia="en-GB"/>
        </w:rPr>
        <w:t>overnment</w:t>
      </w:r>
      <w:r w:rsidR="00D0629D" w:rsidRPr="00173E0A">
        <w:rPr>
          <w:color w:val="000000"/>
          <w:szCs w:val="24"/>
          <w:lang w:eastAsia="en-GB"/>
        </w:rPr>
        <w:t xml:space="preserve"> explained as follows</w:t>
      </w:r>
      <w:r w:rsidR="00377536" w:rsidRPr="00173E0A">
        <w:rPr>
          <w:color w:val="000000"/>
          <w:szCs w:val="24"/>
          <w:lang w:eastAsia="en-GB"/>
        </w:rPr>
        <w:t>:</w:t>
      </w:r>
    </w:p>
    <w:p w14:paraId="1B8A5039" w14:textId="3BAD4938" w:rsidR="00F954E9" w:rsidRPr="00173E0A" w:rsidRDefault="00F954E9" w:rsidP="000768DC">
      <w:pPr>
        <w:pStyle w:val="Quote"/>
        <w:rPr>
          <w:szCs w:val="24"/>
          <w:lang w:eastAsia="en-GB"/>
        </w:rPr>
      </w:pPr>
      <w:r w:rsidRPr="00173E0A">
        <w:rPr>
          <w:szCs w:val="24"/>
          <w:lang w:eastAsia="en-GB"/>
        </w:rPr>
        <w:t>“</w:t>
      </w:r>
      <w:r w:rsidR="00262C83" w:rsidRPr="00173E0A">
        <w:rPr>
          <w:szCs w:val="24"/>
          <w:lang w:eastAsia="en-GB"/>
        </w:rPr>
        <w:t xml:space="preserve">71. </w:t>
      </w:r>
      <w:r w:rsidRPr="00173E0A">
        <w:rPr>
          <w:szCs w:val="24"/>
          <w:lang w:eastAsia="en-GB"/>
        </w:rPr>
        <w:t xml:space="preserve">Having carefully considered the full range of responses and issues raised through the consultation, and the complex issues associated with any option for change, we have </w:t>
      </w:r>
      <w:proofErr w:type="gramStart"/>
      <w:r w:rsidRPr="00173E0A">
        <w:rPr>
          <w:szCs w:val="24"/>
          <w:lang w:eastAsia="en-GB"/>
        </w:rPr>
        <w:t>come to the conclusion</w:t>
      </w:r>
      <w:proofErr w:type="gramEnd"/>
      <w:r w:rsidRPr="00173E0A">
        <w:rPr>
          <w:szCs w:val="24"/>
          <w:lang w:eastAsia="en-GB"/>
        </w:rPr>
        <w:t xml:space="preserve"> that to make such changes would not be straightforward and would have implications for marriage solemnization more broadly. </w:t>
      </w:r>
    </w:p>
    <w:p w14:paraId="0A066071" w14:textId="23C1270C" w:rsidR="00F954E9" w:rsidRPr="00F954E9" w:rsidRDefault="00D0629D" w:rsidP="000768DC">
      <w:pPr>
        <w:pStyle w:val="Quote"/>
        <w:rPr>
          <w:lang w:eastAsia="en-GB"/>
        </w:rPr>
      </w:pPr>
      <w:r w:rsidRPr="00173E0A">
        <w:rPr>
          <w:szCs w:val="24"/>
          <w:lang w:eastAsia="en-GB"/>
        </w:rPr>
        <w:t>72.</w:t>
      </w:r>
      <w:r w:rsidR="00F954E9" w:rsidRPr="00173E0A">
        <w:rPr>
          <w:szCs w:val="24"/>
          <w:lang w:eastAsia="en-GB"/>
        </w:rPr>
        <w:t xml:space="preserve"> It is the Government’s view therefore that </w:t>
      </w:r>
      <w:proofErr w:type="gramStart"/>
      <w:r w:rsidR="00F954E9" w:rsidRPr="00173E0A">
        <w:rPr>
          <w:szCs w:val="24"/>
          <w:lang w:eastAsia="en-GB"/>
        </w:rPr>
        <w:t>in order to</w:t>
      </w:r>
      <w:proofErr w:type="gramEnd"/>
      <w:r w:rsidR="00F954E9" w:rsidRPr="00173E0A">
        <w:rPr>
          <w:szCs w:val="24"/>
          <w:lang w:eastAsia="en-GB"/>
        </w:rPr>
        <w:t xml:space="preserve"> make a decision on whether to take forward the specific proposal to permit legally</w:t>
      </w:r>
      <w:r w:rsidR="00F954E9" w:rsidRPr="00F954E9">
        <w:rPr>
          <w:lang w:eastAsia="en-GB"/>
        </w:rPr>
        <w:t xml:space="preserve"> valid marriage ceremonies for those with non</w:t>
      </w:r>
      <w:r>
        <w:rPr>
          <w:lang w:eastAsia="en-GB"/>
        </w:rPr>
        <w:t>-</w:t>
      </w:r>
      <w:r w:rsidR="00F954E9" w:rsidRPr="00F954E9">
        <w:rPr>
          <w:lang w:eastAsia="en-GB"/>
        </w:rPr>
        <w:t xml:space="preserve">religious beliefs, it is necessary to carefully consider the legal and technical requirements concerning marriage ceremonies and registration and the range of relevant equality issues. To this end the Government will ask the Law Commission if it will begin as soon as possible a broader review of the law concerning marriage ceremonies. </w:t>
      </w:r>
    </w:p>
    <w:p w14:paraId="31AE8A3F" w14:textId="77777777" w:rsidR="00F954E9" w:rsidRPr="00F954E9" w:rsidRDefault="00F954E9" w:rsidP="000768DC">
      <w:pPr>
        <w:pStyle w:val="Quote"/>
        <w:rPr>
          <w:lang w:eastAsia="en-GB"/>
        </w:rPr>
      </w:pPr>
      <w:r w:rsidRPr="00F954E9">
        <w:rPr>
          <w:lang w:eastAsia="en-GB"/>
        </w:rPr>
        <w:t xml:space="preserve">… </w:t>
      </w:r>
    </w:p>
    <w:p w14:paraId="0FFA5966" w14:textId="3D81E176" w:rsidR="00F954E9" w:rsidRDefault="003D72D6" w:rsidP="000768DC">
      <w:pPr>
        <w:pStyle w:val="Quote"/>
        <w:rPr>
          <w:lang w:eastAsia="en-GB"/>
        </w:rPr>
      </w:pPr>
      <w:r>
        <w:rPr>
          <w:lang w:eastAsia="en-GB"/>
        </w:rPr>
        <w:t xml:space="preserve">75. </w:t>
      </w:r>
      <w:r w:rsidR="00F954E9" w:rsidRPr="00F954E9">
        <w:rPr>
          <w:lang w:eastAsia="en-GB"/>
        </w:rPr>
        <w:t xml:space="preserve">Marriage is one of our most valued and important institutions which also affects people’s legal rights and status. It is important that we take the time and approach to get this right.” </w:t>
      </w:r>
    </w:p>
    <w:p w14:paraId="6718E1A9" w14:textId="2A91F62A" w:rsidR="00666100" w:rsidRDefault="00FD0E42" w:rsidP="000768DC">
      <w:pPr>
        <w:pStyle w:val="ParaLevel1"/>
        <w:rPr>
          <w:lang w:eastAsia="en-GB"/>
        </w:rPr>
      </w:pPr>
      <w:r>
        <w:rPr>
          <w:lang w:eastAsia="en-GB"/>
        </w:rPr>
        <w:t xml:space="preserve">In accordance with this statement of the </w:t>
      </w:r>
      <w:r w:rsidR="00BF1C6D">
        <w:rPr>
          <w:lang w:eastAsia="en-GB"/>
        </w:rPr>
        <w:t>G</w:t>
      </w:r>
      <w:r>
        <w:rPr>
          <w:lang w:eastAsia="en-GB"/>
        </w:rPr>
        <w:t>overnment’s intent, the Law Commission was duly as</w:t>
      </w:r>
      <w:r w:rsidR="00FE15D4">
        <w:rPr>
          <w:lang w:eastAsia="en-GB"/>
        </w:rPr>
        <w:t>ked to carry out an initial scoping study, explo</w:t>
      </w:r>
      <w:r w:rsidR="004D5593">
        <w:rPr>
          <w:lang w:eastAsia="en-GB"/>
        </w:rPr>
        <w:t>ring the issues that would need to be considered before proceeding to public consultation on options for reform</w:t>
      </w:r>
      <w:r w:rsidR="004E7D13">
        <w:rPr>
          <w:lang w:eastAsia="en-GB"/>
        </w:rPr>
        <w:t>.  O</w:t>
      </w:r>
      <w:r w:rsidR="00771FB7">
        <w:rPr>
          <w:lang w:eastAsia="en-GB"/>
        </w:rPr>
        <w:t>n 17 December 2015, t</w:t>
      </w:r>
      <w:r w:rsidR="00F954E9" w:rsidRPr="004D5593">
        <w:rPr>
          <w:lang w:eastAsia="en-GB"/>
        </w:rPr>
        <w:t xml:space="preserve">he Law Commission issued </w:t>
      </w:r>
      <w:r w:rsidR="004E7D13">
        <w:rPr>
          <w:lang w:eastAsia="en-GB"/>
        </w:rPr>
        <w:t xml:space="preserve">its </w:t>
      </w:r>
      <w:r w:rsidR="00771FB7">
        <w:rPr>
          <w:lang w:eastAsia="en-GB"/>
        </w:rPr>
        <w:t>Scoping Paper</w:t>
      </w:r>
      <w:r w:rsidR="00666100">
        <w:rPr>
          <w:lang w:eastAsia="en-GB"/>
        </w:rPr>
        <w:t>, concluding:</w:t>
      </w:r>
    </w:p>
    <w:p w14:paraId="5C7790DF" w14:textId="77777777" w:rsidR="00273DBD" w:rsidRDefault="00666100" w:rsidP="000768DC">
      <w:pPr>
        <w:pStyle w:val="Quote"/>
        <w:rPr>
          <w:lang w:eastAsia="en-GB"/>
        </w:rPr>
      </w:pPr>
      <w:r>
        <w:rPr>
          <w:lang w:eastAsia="en-GB"/>
        </w:rPr>
        <w:t xml:space="preserve">“1.50 </w:t>
      </w:r>
      <w:proofErr w:type="gramStart"/>
      <w:r>
        <w:rPr>
          <w:lang w:eastAsia="en-GB"/>
        </w:rPr>
        <w:t>As a result of</w:t>
      </w:r>
      <w:proofErr w:type="gramEnd"/>
      <w:r>
        <w:rPr>
          <w:lang w:eastAsia="en-GB"/>
        </w:rPr>
        <w:t xml:space="preserve"> the work carried out during the scoping phase of the project, we have concluded that there is a clear need for reform.  We agree with the Government’s conclusion following its </w:t>
      </w:r>
      <w:r w:rsidR="00875FA5">
        <w:rPr>
          <w:lang w:eastAsia="en-GB"/>
        </w:rPr>
        <w:t xml:space="preserve">consultation on marriage by non-religious belief organisations that there is no simple solution that would solve the range of problems with the law that we have identified.  In </w:t>
      </w:r>
      <w:r w:rsidR="00C27AF3">
        <w:rPr>
          <w:lang w:eastAsia="en-GB"/>
        </w:rPr>
        <w:t>particular, … the answer cannot be simply to exercise the order-making power contained in section 14(4) of the Marriage (Same Sex) Couples Act 2013 to enable non-religious belief organisations to solemnize marriages.  That is not to say that the law should not be reformed to accommodate marriages by non-religious belief organisations</w:t>
      </w:r>
      <w:r w:rsidR="001C6F13">
        <w:rPr>
          <w:lang w:eastAsia="en-GB"/>
        </w:rPr>
        <w:t xml:space="preserve">; but any steps to do that need to take place alongside a broader updating of the law of marriage that seeks to address </w:t>
      </w:r>
      <w:proofErr w:type="gramStart"/>
      <w:r w:rsidR="001C6F13">
        <w:rPr>
          <w:lang w:eastAsia="en-GB"/>
        </w:rPr>
        <w:t>a number of</w:t>
      </w:r>
      <w:proofErr w:type="gramEnd"/>
      <w:r w:rsidR="001C6F13">
        <w:rPr>
          <w:lang w:eastAsia="en-GB"/>
        </w:rPr>
        <w:t xml:space="preserve"> long-standing problems.</w:t>
      </w:r>
    </w:p>
    <w:p w14:paraId="55EE0770" w14:textId="37D2A552" w:rsidR="00666100" w:rsidRDefault="00273DBD" w:rsidP="000768DC">
      <w:pPr>
        <w:pStyle w:val="Quote"/>
        <w:rPr>
          <w:lang w:eastAsia="en-GB"/>
        </w:rPr>
      </w:pPr>
      <w:r>
        <w:rPr>
          <w:lang w:eastAsia="en-GB"/>
        </w:rPr>
        <w:t>1.51 We consider that the problems in</w:t>
      </w:r>
      <w:r w:rsidR="007C1B73">
        <w:rPr>
          <w:lang w:eastAsia="en-GB"/>
        </w:rPr>
        <w:t xml:space="preserve"> </w:t>
      </w:r>
      <w:r>
        <w:rPr>
          <w:lang w:eastAsia="en-GB"/>
        </w:rPr>
        <w:t>th</w:t>
      </w:r>
      <w:r w:rsidR="007C1B73">
        <w:rPr>
          <w:lang w:eastAsia="en-GB"/>
        </w:rPr>
        <w:t>e</w:t>
      </w:r>
      <w:r>
        <w:rPr>
          <w:lang w:eastAsia="en-GB"/>
        </w:rPr>
        <w:t xml:space="preserve"> current law can appropriately be addressed by a full Law Commission reform project, which would enable us to consult in detail on options for reform before making recommendations to the Government</w:t>
      </w:r>
      <w:r w:rsidR="00E013EF">
        <w:rPr>
          <w:lang w:eastAsia="en-GB"/>
        </w:rPr>
        <w:t>.  The next stage of the work would be a consultation phase, during which we would seek views on specific proposals for reform</w:t>
      </w:r>
      <w:r w:rsidR="00F25413">
        <w:rPr>
          <w:lang w:eastAsia="en-GB"/>
        </w:rPr>
        <w:t xml:space="preserve">.  </w:t>
      </w:r>
      <w:r w:rsidR="00F25413">
        <w:rPr>
          <w:lang w:eastAsia="en-GB"/>
        </w:rPr>
        <w:lastRenderedPageBreak/>
        <w:t>We have concluded that the scope of that consultation should be broad. …</w:t>
      </w:r>
      <w:r w:rsidR="00666100">
        <w:rPr>
          <w:lang w:eastAsia="en-GB"/>
        </w:rPr>
        <w:t>”</w:t>
      </w:r>
    </w:p>
    <w:p w14:paraId="7B810BBA" w14:textId="7F2EBD70" w:rsidR="005D5E73" w:rsidRDefault="00D33B84" w:rsidP="000768DC">
      <w:pPr>
        <w:pStyle w:val="ParaLevel1"/>
        <w:rPr>
          <w:szCs w:val="24"/>
          <w:lang w:eastAsia="en-GB"/>
        </w:rPr>
      </w:pPr>
      <w:r>
        <w:rPr>
          <w:lang w:eastAsia="en-GB"/>
        </w:rPr>
        <w:t xml:space="preserve">By letter of </w:t>
      </w:r>
      <w:r w:rsidR="005D5E73">
        <w:rPr>
          <w:lang w:eastAsia="en-GB"/>
        </w:rPr>
        <w:t xml:space="preserve">11 </w:t>
      </w:r>
      <w:r w:rsidR="00F954E9" w:rsidRPr="004D5593">
        <w:rPr>
          <w:lang w:eastAsia="en-GB"/>
        </w:rPr>
        <w:t>September 2017</w:t>
      </w:r>
      <w:r w:rsidR="00427BF6">
        <w:rPr>
          <w:lang w:eastAsia="en-GB"/>
        </w:rPr>
        <w:t>,</w:t>
      </w:r>
      <w:r w:rsidR="00F954E9" w:rsidRPr="004D5593">
        <w:rPr>
          <w:lang w:eastAsia="en-GB"/>
        </w:rPr>
        <w:t xml:space="preserve"> the Minister of State for Justice </w:t>
      </w:r>
      <w:r w:rsidR="00F415B6">
        <w:rPr>
          <w:lang w:eastAsia="en-GB"/>
        </w:rPr>
        <w:t>responded to the Law Commission</w:t>
      </w:r>
      <w:r w:rsidR="0033464E">
        <w:rPr>
          <w:lang w:eastAsia="en-GB"/>
        </w:rPr>
        <w:t xml:space="preserve">, stating that he had concluded that: </w:t>
      </w:r>
      <w:r w:rsidR="0033464E" w:rsidRPr="004D5593">
        <w:rPr>
          <w:lang w:eastAsia="en-GB"/>
        </w:rPr>
        <w:t>“</w:t>
      </w:r>
      <w:r w:rsidR="0033464E" w:rsidRPr="00771FB7">
        <w:rPr>
          <w:i/>
          <w:lang w:eastAsia="en-GB"/>
        </w:rPr>
        <w:t>now is not the right time to develop options for reform to marriage law</w:t>
      </w:r>
      <w:r w:rsidR="0033464E" w:rsidRPr="004D5593">
        <w:rPr>
          <w:lang w:eastAsia="en-GB"/>
        </w:rPr>
        <w:t>”</w:t>
      </w:r>
      <w:r w:rsidR="006D50A4">
        <w:rPr>
          <w:lang w:eastAsia="en-GB"/>
        </w:rPr>
        <w:t>, albeit he was</w:t>
      </w:r>
      <w:r w:rsidR="006D50A4" w:rsidRPr="006D50A4">
        <w:rPr>
          <w:szCs w:val="24"/>
          <w:lang w:eastAsia="en-GB"/>
        </w:rPr>
        <w:t xml:space="preserve"> </w:t>
      </w:r>
      <w:r w:rsidR="006D50A4" w:rsidRPr="006D50A4">
        <w:rPr>
          <w:color w:val="000000"/>
          <w:szCs w:val="24"/>
          <w:lang w:eastAsia="en-GB"/>
        </w:rPr>
        <w:t>“</w:t>
      </w:r>
      <w:r w:rsidR="006D50A4" w:rsidRPr="006D50A4">
        <w:rPr>
          <w:i/>
          <w:color w:val="000000"/>
          <w:szCs w:val="24"/>
          <w:lang w:eastAsia="en-GB"/>
        </w:rPr>
        <w:t>not ruling out the option of further work in this area in a future programme of work</w:t>
      </w:r>
      <w:r w:rsidR="006D50A4">
        <w:rPr>
          <w:i/>
          <w:color w:val="000000"/>
          <w:szCs w:val="24"/>
          <w:lang w:eastAsia="en-GB"/>
        </w:rPr>
        <w:t>”</w:t>
      </w:r>
      <w:r w:rsidR="006D50A4">
        <w:rPr>
          <w:szCs w:val="24"/>
          <w:lang w:eastAsia="en-GB"/>
        </w:rPr>
        <w:t>.</w:t>
      </w:r>
      <w:r w:rsidR="005D5E73">
        <w:rPr>
          <w:szCs w:val="24"/>
          <w:lang w:eastAsia="en-GB"/>
        </w:rPr>
        <w:t xml:space="preserve">  </w:t>
      </w:r>
    </w:p>
    <w:p w14:paraId="1B963380" w14:textId="6B231BE9" w:rsidR="00520D2A" w:rsidRPr="00520D2A" w:rsidRDefault="005D5E73" w:rsidP="000768DC">
      <w:pPr>
        <w:pStyle w:val="ParaLevel1"/>
        <w:rPr>
          <w:szCs w:val="24"/>
          <w:lang w:eastAsia="en-GB"/>
        </w:rPr>
      </w:pPr>
      <w:r>
        <w:rPr>
          <w:szCs w:val="24"/>
          <w:lang w:eastAsia="en-GB"/>
        </w:rPr>
        <w:t xml:space="preserve">Subsequently, in </w:t>
      </w:r>
      <w:r w:rsidR="00F954E9" w:rsidRPr="005D5E73">
        <w:rPr>
          <w:color w:val="000000"/>
          <w:lang w:eastAsia="en-GB"/>
        </w:rPr>
        <w:t>October 2018</w:t>
      </w:r>
      <w:r>
        <w:rPr>
          <w:color w:val="000000"/>
          <w:lang w:eastAsia="en-GB"/>
        </w:rPr>
        <w:t>,</w:t>
      </w:r>
      <w:r w:rsidR="00F954E9" w:rsidRPr="005D5E73">
        <w:rPr>
          <w:color w:val="000000"/>
          <w:lang w:eastAsia="en-GB"/>
        </w:rPr>
        <w:t xml:space="preserve"> the Government announced that it ha</w:t>
      </w:r>
      <w:r>
        <w:rPr>
          <w:color w:val="000000"/>
          <w:lang w:eastAsia="en-GB"/>
        </w:rPr>
        <w:t>d</w:t>
      </w:r>
      <w:r w:rsidR="00F954E9" w:rsidRPr="005D5E73">
        <w:rPr>
          <w:color w:val="000000"/>
          <w:lang w:eastAsia="en-GB"/>
        </w:rPr>
        <w:t xml:space="preserve"> asked the Law Commission to propose options for a “</w:t>
      </w:r>
      <w:r w:rsidR="00F954E9" w:rsidRPr="005D5E73">
        <w:rPr>
          <w:i/>
          <w:color w:val="000000"/>
          <w:lang w:eastAsia="en-GB"/>
        </w:rPr>
        <w:t>simpler and fairer system</w:t>
      </w:r>
      <w:r w:rsidR="00F954E9" w:rsidRPr="005D5E73">
        <w:rPr>
          <w:color w:val="000000"/>
          <w:lang w:eastAsia="en-GB"/>
        </w:rPr>
        <w:t>” of marriage</w:t>
      </w:r>
      <w:r w:rsidR="00375676">
        <w:rPr>
          <w:color w:val="000000"/>
          <w:lang w:eastAsia="en-GB"/>
        </w:rPr>
        <w:t xml:space="preserve">, and, in </w:t>
      </w:r>
      <w:r w:rsidR="00F954E9" w:rsidRPr="005D5E73">
        <w:rPr>
          <w:color w:val="000000"/>
          <w:lang w:eastAsia="en-GB"/>
        </w:rPr>
        <w:t>June 2019</w:t>
      </w:r>
      <w:r w:rsidR="00C96171">
        <w:rPr>
          <w:color w:val="000000"/>
          <w:lang w:eastAsia="en-GB"/>
        </w:rPr>
        <w:t>,</w:t>
      </w:r>
      <w:r w:rsidR="00F954E9" w:rsidRPr="005D5E73">
        <w:rPr>
          <w:color w:val="000000"/>
          <w:lang w:eastAsia="en-GB"/>
        </w:rPr>
        <w:t xml:space="preserve"> the Government announced that the Law Commission would conduct a fundamental review of the law on how and where people can legally marry in England and Wales</w:t>
      </w:r>
      <w:r w:rsidR="000E4437">
        <w:rPr>
          <w:color w:val="000000"/>
          <w:lang w:eastAsia="en-GB"/>
        </w:rPr>
        <w:t xml:space="preserve">.  </w:t>
      </w:r>
    </w:p>
    <w:p w14:paraId="3967C757" w14:textId="600A88D4" w:rsidR="00F954E9" w:rsidRPr="005D5E73" w:rsidRDefault="000E4437" w:rsidP="000768DC">
      <w:pPr>
        <w:pStyle w:val="ParaLevel1"/>
        <w:rPr>
          <w:szCs w:val="24"/>
          <w:lang w:eastAsia="en-GB"/>
        </w:rPr>
      </w:pPr>
      <w:r>
        <w:rPr>
          <w:color w:val="000000"/>
          <w:lang w:eastAsia="en-GB"/>
        </w:rPr>
        <w:t xml:space="preserve">The </w:t>
      </w:r>
      <w:r w:rsidR="00520D2A">
        <w:rPr>
          <w:color w:val="000000"/>
          <w:lang w:eastAsia="en-GB"/>
        </w:rPr>
        <w:t>Law Commission’s review – entitled “</w:t>
      </w:r>
      <w:r w:rsidR="00520D2A" w:rsidRPr="00520D2A">
        <w:rPr>
          <w:i/>
          <w:iCs/>
          <w:color w:val="000000"/>
          <w:lang w:eastAsia="en-GB"/>
        </w:rPr>
        <w:t>Weddings Project</w:t>
      </w:r>
      <w:r w:rsidR="00520D2A">
        <w:rPr>
          <w:color w:val="000000"/>
          <w:lang w:eastAsia="en-GB"/>
        </w:rPr>
        <w:t xml:space="preserve">” - commenced on </w:t>
      </w:r>
      <w:r w:rsidR="00520D2A" w:rsidRPr="005D5E73">
        <w:rPr>
          <w:color w:val="000000"/>
          <w:lang w:eastAsia="en-GB"/>
        </w:rPr>
        <w:t>1 July 2019</w:t>
      </w:r>
      <w:r w:rsidR="00520D2A">
        <w:rPr>
          <w:color w:val="000000"/>
          <w:lang w:eastAsia="en-GB"/>
        </w:rPr>
        <w:t xml:space="preserve">.  </w:t>
      </w:r>
      <w:r w:rsidR="003A2979">
        <w:rPr>
          <w:color w:val="000000"/>
          <w:lang w:eastAsia="en-GB"/>
        </w:rPr>
        <w:t xml:space="preserve">The </w:t>
      </w:r>
      <w:r>
        <w:rPr>
          <w:color w:val="000000"/>
          <w:lang w:eastAsia="en-GB"/>
        </w:rPr>
        <w:t>terms of reference</w:t>
      </w:r>
      <w:r w:rsidR="003A2979">
        <w:rPr>
          <w:color w:val="000000"/>
          <w:lang w:eastAsia="en-GB"/>
        </w:rPr>
        <w:t xml:space="preserve"> explain that </w:t>
      </w:r>
      <w:r w:rsidR="00744F6E">
        <w:rPr>
          <w:color w:val="000000"/>
          <w:lang w:eastAsia="en-GB"/>
        </w:rPr>
        <w:t>five principles will underpin recommendations for reform, as follows</w:t>
      </w:r>
      <w:r w:rsidR="00F954E9" w:rsidRPr="005D5E73">
        <w:rPr>
          <w:color w:val="000000"/>
          <w:lang w:eastAsia="en-GB"/>
        </w:rPr>
        <w:t xml:space="preserve">: </w:t>
      </w:r>
    </w:p>
    <w:p w14:paraId="0B507D91" w14:textId="6C548868" w:rsidR="00F954E9" w:rsidRPr="0054568A" w:rsidRDefault="00744F6E" w:rsidP="000768DC">
      <w:pPr>
        <w:pStyle w:val="Quote"/>
        <w:rPr>
          <w:lang w:eastAsia="en-GB"/>
        </w:rPr>
      </w:pPr>
      <w:r>
        <w:rPr>
          <w:lang w:eastAsia="en-GB"/>
        </w:rPr>
        <w:t>“(1)</w:t>
      </w:r>
      <w:r w:rsidR="00F954E9" w:rsidRPr="0054568A">
        <w:rPr>
          <w:lang w:eastAsia="en-GB"/>
        </w:rPr>
        <w:t xml:space="preserve"> Certainty and simplicity; </w:t>
      </w:r>
    </w:p>
    <w:p w14:paraId="29EDC8EB" w14:textId="329C3FED" w:rsidR="00F954E9" w:rsidRPr="0054568A" w:rsidRDefault="00744F6E" w:rsidP="000768DC">
      <w:pPr>
        <w:pStyle w:val="Quote"/>
        <w:rPr>
          <w:lang w:eastAsia="en-GB"/>
        </w:rPr>
      </w:pPr>
      <w:r>
        <w:rPr>
          <w:lang w:eastAsia="en-GB"/>
        </w:rPr>
        <w:t xml:space="preserve">(2) </w:t>
      </w:r>
      <w:r w:rsidR="00F954E9" w:rsidRPr="0054568A">
        <w:rPr>
          <w:lang w:eastAsia="en-GB"/>
        </w:rPr>
        <w:t xml:space="preserve">Fairness and equality; </w:t>
      </w:r>
    </w:p>
    <w:p w14:paraId="22419D6A" w14:textId="2808954E" w:rsidR="00F954E9" w:rsidRPr="0054568A" w:rsidRDefault="00744F6E" w:rsidP="000768DC">
      <w:pPr>
        <w:pStyle w:val="Quote"/>
        <w:rPr>
          <w:lang w:eastAsia="en-GB"/>
        </w:rPr>
      </w:pPr>
      <w:r>
        <w:rPr>
          <w:lang w:eastAsia="en-GB"/>
        </w:rPr>
        <w:t xml:space="preserve">(3) </w:t>
      </w:r>
      <w:r w:rsidR="00F954E9" w:rsidRPr="0054568A">
        <w:rPr>
          <w:lang w:eastAsia="en-GB"/>
        </w:rPr>
        <w:t xml:space="preserve">Protecting the state’s interest; </w:t>
      </w:r>
    </w:p>
    <w:p w14:paraId="4A40AE45" w14:textId="2F79B902" w:rsidR="00F954E9" w:rsidRPr="0054568A" w:rsidRDefault="00744F6E" w:rsidP="000768DC">
      <w:pPr>
        <w:pStyle w:val="Quote"/>
        <w:rPr>
          <w:lang w:eastAsia="en-GB"/>
        </w:rPr>
      </w:pPr>
      <w:r>
        <w:rPr>
          <w:lang w:eastAsia="en-GB"/>
        </w:rPr>
        <w:t xml:space="preserve">(4) </w:t>
      </w:r>
      <w:r w:rsidR="00F954E9" w:rsidRPr="0054568A">
        <w:rPr>
          <w:lang w:eastAsia="en-GB"/>
        </w:rPr>
        <w:t xml:space="preserve">Respecting individuals’ wishes and beliefs; and </w:t>
      </w:r>
    </w:p>
    <w:p w14:paraId="4211CE6E" w14:textId="2D9BEFF0" w:rsidR="00F954E9" w:rsidRPr="0054568A" w:rsidRDefault="00744F6E" w:rsidP="000768DC">
      <w:pPr>
        <w:pStyle w:val="Quote"/>
        <w:rPr>
          <w:color w:val="000000"/>
          <w:lang w:eastAsia="en-GB"/>
        </w:rPr>
      </w:pPr>
      <w:r>
        <w:rPr>
          <w:lang w:eastAsia="en-GB"/>
        </w:rPr>
        <w:t xml:space="preserve">(5) </w:t>
      </w:r>
      <w:r w:rsidR="00F954E9" w:rsidRPr="0054568A">
        <w:rPr>
          <w:lang w:eastAsia="en-GB"/>
        </w:rPr>
        <w:t xml:space="preserve">Removing any unnecessary regulation, </w:t>
      </w:r>
      <w:proofErr w:type="gramStart"/>
      <w:r w:rsidR="00F954E9" w:rsidRPr="0054568A">
        <w:rPr>
          <w:lang w:eastAsia="en-GB"/>
        </w:rPr>
        <w:t>so as to</w:t>
      </w:r>
      <w:proofErr w:type="gramEnd"/>
      <w:r w:rsidR="00F954E9" w:rsidRPr="0054568A">
        <w:rPr>
          <w:lang w:eastAsia="en-GB"/>
        </w:rPr>
        <w:t xml:space="preserve"> increase the choice and lower the cost of wedding venues for couples.” </w:t>
      </w:r>
      <w:r w:rsidR="00F954E9" w:rsidRPr="0054568A">
        <w:rPr>
          <w:color w:val="000000"/>
          <w:lang w:eastAsia="en-GB"/>
        </w:rPr>
        <w:t xml:space="preserve"> </w:t>
      </w:r>
    </w:p>
    <w:p w14:paraId="40291FE3" w14:textId="5A2867AA" w:rsidR="00F954E9" w:rsidRPr="0054568A" w:rsidRDefault="00666749" w:rsidP="000768DC">
      <w:pPr>
        <w:pStyle w:val="ParaLevel1"/>
        <w:rPr>
          <w:lang w:eastAsia="en-GB"/>
        </w:rPr>
      </w:pPr>
      <w:r>
        <w:rPr>
          <w:lang w:eastAsia="en-GB"/>
        </w:rPr>
        <w:t xml:space="preserve">It is stated that </w:t>
      </w:r>
      <w:r w:rsidR="00F954E9" w:rsidRPr="0054568A">
        <w:rPr>
          <w:lang w:eastAsia="en-GB"/>
        </w:rPr>
        <w:t>the Law Commission will make recommendations regarding</w:t>
      </w:r>
      <w:r w:rsidR="00E82514">
        <w:rPr>
          <w:lang w:eastAsia="en-GB"/>
        </w:rPr>
        <w:t xml:space="preserve"> (relevantly for present purposes)</w:t>
      </w:r>
      <w:r w:rsidR="00F954E9" w:rsidRPr="0054568A">
        <w:rPr>
          <w:lang w:eastAsia="en-GB"/>
        </w:rPr>
        <w:t xml:space="preserve">: </w:t>
      </w:r>
    </w:p>
    <w:p w14:paraId="04B91DB6" w14:textId="2B255BCE" w:rsidR="00F954E9" w:rsidRDefault="00083135" w:rsidP="000768DC">
      <w:pPr>
        <w:pStyle w:val="Quote"/>
        <w:rPr>
          <w:lang w:eastAsia="en-GB"/>
        </w:rPr>
      </w:pPr>
      <w:r>
        <w:rPr>
          <w:lang w:eastAsia="en-GB"/>
        </w:rPr>
        <w:t>“</w:t>
      </w:r>
      <w:r w:rsidR="001802D9">
        <w:rPr>
          <w:lang w:eastAsia="en-GB"/>
        </w:rPr>
        <w:t xml:space="preserve">(1) </w:t>
      </w:r>
      <w:r w:rsidR="00F954E9" w:rsidRPr="0054568A">
        <w:rPr>
          <w:lang w:eastAsia="en-GB"/>
        </w:rPr>
        <w:t xml:space="preserve">… </w:t>
      </w:r>
    </w:p>
    <w:p w14:paraId="4CB58537" w14:textId="2080D543" w:rsidR="00F954E9" w:rsidRPr="0054568A" w:rsidRDefault="001802D9" w:rsidP="000768DC">
      <w:pPr>
        <w:pStyle w:val="Quote"/>
        <w:rPr>
          <w:lang w:eastAsia="en-GB"/>
        </w:rPr>
      </w:pPr>
      <w:r>
        <w:rPr>
          <w:lang w:eastAsia="en-GB"/>
        </w:rPr>
        <w:t xml:space="preserve">(2) </w:t>
      </w:r>
      <w:r w:rsidR="00F954E9" w:rsidRPr="0054568A">
        <w:rPr>
          <w:lang w:eastAsia="en-GB"/>
        </w:rPr>
        <w:t xml:space="preserve">How the law should be reformed to enable marriage ceremonies to take place in a wider range of venues, including outdoor locations, at sea, and on military sites; </w:t>
      </w:r>
    </w:p>
    <w:p w14:paraId="6AC46E5D" w14:textId="2C5E5198" w:rsidR="00F954E9" w:rsidRPr="0054568A" w:rsidRDefault="001802D9" w:rsidP="000768DC">
      <w:pPr>
        <w:pStyle w:val="Quote"/>
        <w:rPr>
          <w:lang w:eastAsia="en-GB"/>
        </w:rPr>
      </w:pPr>
      <w:r>
        <w:rPr>
          <w:lang w:eastAsia="en-GB"/>
        </w:rPr>
        <w:t xml:space="preserve">(3) </w:t>
      </w:r>
      <w:r w:rsidR="00F954E9" w:rsidRPr="0054568A">
        <w:rPr>
          <w:lang w:eastAsia="en-GB"/>
        </w:rPr>
        <w:t xml:space="preserve">How the law should be reformed in relation to who can solemnize a marriage and how it could be reformed to enable a wider range of persons to solemnize a marriage. This will include how marriage by humanist and other non-religious belief organisations could be incorporated into a new or revised scheme, and how provision could be made for the use of independent celebrants, but the Law Commission will not make recommendations as to whether the groups who can solemnize marriages should be expanded; </w:t>
      </w:r>
    </w:p>
    <w:p w14:paraId="65F3E1D7" w14:textId="3A4C1FDE" w:rsidR="00753506" w:rsidRDefault="001802D9" w:rsidP="000768DC">
      <w:pPr>
        <w:pStyle w:val="Quote"/>
        <w:rPr>
          <w:lang w:eastAsia="en-GB"/>
        </w:rPr>
      </w:pPr>
      <w:r>
        <w:rPr>
          <w:lang w:eastAsia="en-GB"/>
        </w:rPr>
        <w:t xml:space="preserve">(4) </w:t>
      </w:r>
      <w:r w:rsidR="00F954E9" w:rsidRPr="0054568A">
        <w:rPr>
          <w:lang w:eastAsia="en-GB"/>
        </w:rPr>
        <w:t>What content is either required or prohibited as part of a wedding ceremony</w:t>
      </w:r>
      <w:r w:rsidR="00753506">
        <w:rPr>
          <w:lang w:eastAsia="en-GB"/>
        </w:rPr>
        <w:t xml:space="preserve">; </w:t>
      </w:r>
    </w:p>
    <w:p w14:paraId="1E19CF27" w14:textId="77777777" w:rsidR="00E0478B" w:rsidRDefault="00E0478B" w:rsidP="000768DC">
      <w:pPr>
        <w:pStyle w:val="Quote"/>
        <w:rPr>
          <w:lang w:eastAsia="en-GB"/>
        </w:rPr>
      </w:pPr>
    </w:p>
    <w:p w14:paraId="537BA997" w14:textId="7423D7C6" w:rsidR="00083135" w:rsidRDefault="001802D9" w:rsidP="000768DC">
      <w:pPr>
        <w:pStyle w:val="Quote"/>
        <w:rPr>
          <w:lang w:eastAsia="en-GB"/>
        </w:rPr>
      </w:pPr>
      <w:r>
        <w:rPr>
          <w:lang w:eastAsia="en-GB"/>
        </w:rPr>
        <w:lastRenderedPageBreak/>
        <w:t xml:space="preserve">(5) </w:t>
      </w:r>
      <w:r w:rsidR="00753506">
        <w:rPr>
          <w:lang w:eastAsia="en-GB"/>
        </w:rPr>
        <w:t>How marriages should be registered, and by whom</w:t>
      </w:r>
    </w:p>
    <w:p w14:paraId="5A767FAA" w14:textId="3FD55E5C" w:rsidR="00F954E9" w:rsidRPr="0054568A" w:rsidRDefault="00F954E9" w:rsidP="000768DC">
      <w:pPr>
        <w:pStyle w:val="Quote"/>
        <w:rPr>
          <w:color w:val="000000"/>
          <w:lang w:eastAsia="en-GB"/>
        </w:rPr>
      </w:pPr>
      <w:r w:rsidRPr="0054568A">
        <w:rPr>
          <w:lang w:eastAsia="en-GB"/>
        </w:rPr>
        <w:t xml:space="preserve">…” </w:t>
      </w:r>
      <w:r w:rsidRPr="0054568A">
        <w:rPr>
          <w:color w:val="000000"/>
          <w:lang w:eastAsia="en-GB"/>
        </w:rPr>
        <w:t xml:space="preserve"> </w:t>
      </w:r>
    </w:p>
    <w:p w14:paraId="3AC17980" w14:textId="6A145D76" w:rsidR="005A5472" w:rsidRDefault="00F954E9" w:rsidP="000768DC">
      <w:pPr>
        <w:pStyle w:val="ParaLevel1"/>
        <w:rPr>
          <w:lang w:eastAsia="en-GB"/>
        </w:rPr>
      </w:pPr>
      <w:r w:rsidRPr="0054568A">
        <w:rPr>
          <w:lang w:eastAsia="en-GB"/>
        </w:rPr>
        <w:t>The Law Commission’s review is</w:t>
      </w:r>
      <w:r w:rsidR="00D8421E">
        <w:rPr>
          <w:lang w:eastAsia="en-GB"/>
        </w:rPr>
        <w:t xml:space="preserve"> </w:t>
      </w:r>
      <w:r w:rsidRPr="0054568A">
        <w:rPr>
          <w:lang w:eastAsia="en-GB"/>
        </w:rPr>
        <w:t xml:space="preserve">ongoing. </w:t>
      </w:r>
      <w:r w:rsidR="000D6524">
        <w:rPr>
          <w:lang w:eastAsia="en-GB"/>
        </w:rPr>
        <w:t xml:space="preserve"> In </w:t>
      </w:r>
      <w:r w:rsidR="009462B8">
        <w:rPr>
          <w:lang w:eastAsia="en-GB"/>
        </w:rPr>
        <w:t xml:space="preserve">giving evidence for the Defendant, Mr </w:t>
      </w:r>
      <w:proofErr w:type="spellStart"/>
      <w:r w:rsidR="009462B8">
        <w:rPr>
          <w:lang w:eastAsia="en-GB"/>
        </w:rPr>
        <w:t>Barcoe</w:t>
      </w:r>
      <w:proofErr w:type="spellEnd"/>
      <w:r w:rsidR="004567D8">
        <w:rPr>
          <w:lang w:eastAsia="en-GB"/>
        </w:rPr>
        <w:t xml:space="preserve"> </w:t>
      </w:r>
      <w:r w:rsidR="009462B8">
        <w:rPr>
          <w:lang w:eastAsia="en-GB"/>
        </w:rPr>
        <w:t xml:space="preserve">explained that the Law Commission was due to publish its </w:t>
      </w:r>
      <w:r w:rsidR="003D17A3">
        <w:rPr>
          <w:lang w:eastAsia="en-GB"/>
        </w:rPr>
        <w:t>c</w:t>
      </w:r>
      <w:r w:rsidR="009462B8">
        <w:rPr>
          <w:lang w:eastAsia="en-GB"/>
        </w:rPr>
        <w:t xml:space="preserve">onsultation </w:t>
      </w:r>
      <w:r w:rsidR="003D17A3">
        <w:rPr>
          <w:lang w:eastAsia="en-GB"/>
        </w:rPr>
        <w:t>p</w:t>
      </w:r>
      <w:r w:rsidR="009462B8">
        <w:rPr>
          <w:lang w:eastAsia="en-GB"/>
        </w:rPr>
        <w:t xml:space="preserve">aper </w:t>
      </w:r>
      <w:r w:rsidR="0041336B">
        <w:rPr>
          <w:lang w:eastAsia="en-GB"/>
        </w:rPr>
        <w:t>in April 2020</w:t>
      </w:r>
      <w:r w:rsidR="00DA3D59">
        <w:rPr>
          <w:lang w:eastAsia="en-GB"/>
        </w:rPr>
        <w:t>,</w:t>
      </w:r>
      <w:r w:rsidR="0041336B">
        <w:rPr>
          <w:lang w:eastAsia="en-GB"/>
        </w:rPr>
        <w:t xml:space="preserve"> but this date </w:t>
      </w:r>
      <w:r w:rsidR="00910EA4">
        <w:rPr>
          <w:lang w:eastAsia="en-GB"/>
        </w:rPr>
        <w:t>wa</w:t>
      </w:r>
      <w:r w:rsidR="0041336B">
        <w:rPr>
          <w:lang w:eastAsia="en-GB"/>
        </w:rPr>
        <w:t>s under review due to the Covid-19 pandemic</w:t>
      </w:r>
      <w:r w:rsidR="00DA3D59">
        <w:rPr>
          <w:lang w:eastAsia="en-GB"/>
        </w:rPr>
        <w:t xml:space="preserve">; the updated information </w:t>
      </w:r>
      <w:r w:rsidR="003D17A3">
        <w:rPr>
          <w:lang w:eastAsia="en-GB"/>
        </w:rPr>
        <w:t xml:space="preserve">taken from </w:t>
      </w:r>
      <w:r w:rsidRPr="0054568A">
        <w:rPr>
          <w:lang w:eastAsia="en-GB"/>
        </w:rPr>
        <w:t>the Law Commission’s website states that the public consultation</w:t>
      </w:r>
      <w:r w:rsidR="003D17A3">
        <w:rPr>
          <w:lang w:eastAsia="en-GB"/>
        </w:rPr>
        <w:t xml:space="preserve"> will be launched</w:t>
      </w:r>
      <w:r w:rsidRPr="0054568A">
        <w:rPr>
          <w:lang w:eastAsia="en-GB"/>
        </w:rPr>
        <w:t xml:space="preserve"> in September 2020. </w:t>
      </w:r>
      <w:r w:rsidR="00280628">
        <w:rPr>
          <w:lang w:eastAsia="en-GB"/>
        </w:rPr>
        <w:t xml:space="preserve"> Acknowledging that the </w:t>
      </w:r>
      <w:r w:rsidR="00360128">
        <w:rPr>
          <w:lang w:eastAsia="en-GB"/>
        </w:rPr>
        <w:t xml:space="preserve">Law Commission’s terms of reference </w:t>
      </w:r>
      <w:r w:rsidR="006F138F">
        <w:rPr>
          <w:lang w:eastAsia="en-GB"/>
        </w:rPr>
        <w:t xml:space="preserve">make clear that it will not be making recommendations as to whether, as a matter of policy, new groups should be allowed to conduct legally binding weddings, Mr </w:t>
      </w:r>
      <w:proofErr w:type="spellStart"/>
      <w:r w:rsidR="006F138F">
        <w:rPr>
          <w:lang w:eastAsia="en-GB"/>
        </w:rPr>
        <w:t>Barcoe</w:t>
      </w:r>
      <w:proofErr w:type="spellEnd"/>
      <w:r w:rsidR="006F138F">
        <w:rPr>
          <w:lang w:eastAsia="en-GB"/>
        </w:rPr>
        <w:t xml:space="preserve"> observes that </w:t>
      </w:r>
      <w:r w:rsidR="008C79CB">
        <w:rPr>
          <w:lang w:eastAsia="en-GB"/>
        </w:rPr>
        <w:t xml:space="preserve">it was made clear in the Scoping Paper that it would be unsuitable for the Law Commission, as an independent law reform body, to </w:t>
      </w:r>
      <w:r w:rsidR="006A76F6">
        <w:rPr>
          <w:lang w:eastAsia="en-GB"/>
        </w:rPr>
        <w:t xml:space="preserve">consider social policy issues such as </w:t>
      </w:r>
      <w:r w:rsidR="00601185">
        <w:rPr>
          <w:lang w:eastAsia="en-GB"/>
        </w:rPr>
        <w:t>th</w:t>
      </w:r>
      <w:r w:rsidR="00C7534C">
        <w:rPr>
          <w:lang w:eastAsia="en-GB"/>
        </w:rPr>
        <w:t>i</w:t>
      </w:r>
      <w:r w:rsidR="00601185">
        <w:rPr>
          <w:lang w:eastAsia="en-GB"/>
        </w:rPr>
        <w:t xml:space="preserve">s.  Nonetheless, he emphasises that </w:t>
      </w:r>
      <w:r w:rsidR="005A5472">
        <w:rPr>
          <w:lang w:eastAsia="en-GB"/>
        </w:rPr>
        <w:t xml:space="preserve">the Law Commission will be considering how marriage by humanist and other non-religious belief organisations could be incorporated into a revised or new scheme. </w:t>
      </w:r>
    </w:p>
    <w:p w14:paraId="0C1D4DB9" w14:textId="7BE52A47" w:rsidR="00653A75" w:rsidRPr="00AD419D" w:rsidRDefault="00AD419D" w:rsidP="000768DC">
      <w:pPr>
        <w:pStyle w:val="ParaLevel1"/>
        <w:rPr>
          <w:lang w:eastAsia="en-GB"/>
        </w:rPr>
      </w:pPr>
      <w:r>
        <w:rPr>
          <w:lang w:eastAsia="en-GB"/>
        </w:rPr>
        <w:t xml:space="preserve">This is a point to which I return when considering </w:t>
      </w:r>
      <w:r w:rsidR="007D5C83">
        <w:rPr>
          <w:lang w:eastAsia="en-GB"/>
        </w:rPr>
        <w:t>justification</w:t>
      </w:r>
      <w:r w:rsidR="00F93F42">
        <w:rPr>
          <w:lang w:eastAsia="en-GB"/>
        </w:rPr>
        <w:t>,</w:t>
      </w:r>
      <w:r w:rsidR="007D5C83">
        <w:rPr>
          <w:lang w:eastAsia="en-GB"/>
        </w:rPr>
        <w:t xml:space="preserve"> but I note that the </w:t>
      </w:r>
      <w:r w:rsidR="005A02D2" w:rsidRPr="00AD419D">
        <w:rPr>
          <w:lang w:eastAsia="en-GB"/>
        </w:rPr>
        <w:t>Claimants</w:t>
      </w:r>
      <w:r w:rsidR="007D5C83">
        <w:rPr>
          <w:lang w:eastAsia="en-GB"/>
        </w:rPr>
        <w:t xml:space="preserve"> consider the Defendant’s position to be inadequate</w:t>
      </w:r>
      <w:r w:rsidR="0072728D">
        <w:rPr>
          <w:lang w:eastAsia="en-GB"/>
        </w:rPr>
        <w:t>.  They observe that</w:t>
      </w:r>
      <w:r w:rsidR="00E41ABD" w:rsidRPr="00AD419D">
        <w:rPr>
          <w:lang w:eastAsia="en-GB"/>
        </w:rPr>
        <w:t xml:space="preserve"> the</w:t>
      </w:r>
      <w:r w:rsidR="00B43216" w:rsidRPr="00AD419D">
        <w:rPr>
          <w:lang w:eastAsia="en-GB"/>
        </w:rPr>
        <w:t xml:space="preserve"> Law Commission’s terms of reference do not include the</w:t>
      </w:r>
      <w:r w:rsidR="00E41ABD" w:rsidRPr="00AD419D">
        <w:rPr>
          <w:lang w:eastAsia="en-GB"/>
        </w:rPr>
        <w:t xml:space="preserve"> question of principle</w:t>
      </w:r>
      <w:r w:rsidR="0072728D">
        <w:rPr>
          <w:lang w:eastAsia="en-GB"/>
        </w:rPr>
        <w:t xml:space="preserve"> -</w:t>
      </w:r>
      <w:r w:rsidR="00B43216" w:rsidRPr="00AD419D">
        <w:rPr>
          <w:lang w:eastAsia="en-GB"/>
        </w:rPr>
        <w:t xml:space="preserve"> </w:t>
      </w:r>
      <w:r w:rsidR="00E41ABD" w:rsidRPr="00AD419D">
        <w:rPr>
          <w:lang w:eastAsia="en-GB"/>
        </w:rPr>
        <w:t>whether the current regime is discriminatory</w:t>
      </w:r>
      <w:r w:rsidR="0072728D">
        <w:rPr>
          <w:lang w:eastAsia="en-GB"/>
        </w:rPr>
        <w:t xml:space="preserve"> -</w:t>
      </w:r>
      <w:r w:rsidR="00442B7E" w:rsidRPr="00AD419D">
        <w:rPr>
          <w:lang w:eastAsia="en-GB"/>
        </w:rPr>
        <w:t xml:space="preserve"> and </w:t>
      </w:r>
      <w:r w:rsidR="00F92D0B">
        <w:rPr>
          <w:lang w:eastAsia="en-GB"/>
        </w:rPr>
        <w:t>object</w:t>
      </w:r>
      <w:r w:rsidR="00442B7E" w:rsidRPr="00AD419D">
        <w:rPr>
          <w:lang w:eastAsia="en-GB"/>
        </w:rPr>
        <w:t xml:space="preserve"> that the </w:t>
      </w:r>
      <w:r w:rsidR="0029203A">
        <w:rPr>
          <w:lang w:eastAsia="en-GB"/>
        </w:rPr>
        <w:t>G</w:t>
      </w:r>
      <w:r w:rsidR="00442B7E" w:rsidRPr="00AD419D">
        <w:rPr>
          <w:lang w:eastAsia="en-GB"/>
        </w:rPr>
        <w:t>overnment still sees th</w:t>
      </w:r>
      <w:r w:rsidR="004F419C" w:rsidRPr="00AD419D">
        <w:rPr>
          <w:lang w:eastAsia="en-GB"/>
        </w:rPr>
        <w:t xml:space="preserve">e treatment of humanist marriage as within its gift, not a matter of right </w:t>
      </w:r>
      <w:r w:rsidR="00653A75" w:rsidRPr="00AD419D">
        <w:rPr>
          <w:lang w:eastAsia="en-GB"/>
        </w:rPr>
        <w:t>for those who hold humanist beliefs.</w:t>
      </w:r>
      <w:r w:rsidR="00E16260">
        <w:rPr>
          <w:lang w:eastAsia="en-GB"/>
        </w:rPr>
        <w:t xml:space="preserve"> </w:t>
      </w:r>
      <w:r w:rsidR="00653A75" w:rsidRPr="00AD419D">
        <w:rPr>
          <w:lang w:eastAsia="en-GB"/>
        </w:rPr>
        <w:t xml:space="preserve"> </w:t>
      </w:r>
    </w:p>
    <w:p w14:paraId="2BC4E478" w14:textId="03313387" w:rsidR="00D35510" w:rsidRPr="0092121B" w:rsidRDefault="00D35510" w:rsidP="000768DC">
      <w:pPr>
        <w:pStyle w:val="ParaLevel1"/>
        <w:numPr>
          <w:ilvl w:val="0"/>
          <w:numId w:val="0"/>
        </w:numPr>
        <w:ind w:left="720" w:hanging="720"/>
        <w:rPr>
          <w:b/>
          <w:bCs/>
        </w:rPr>
      </w:pPr>
      <w:bookmarkStart w:id="9" w:name="challnge_in_thse_proceedngs"/>
      <w:r w:rsidRPr="0092121B">
        <w:rPr>
          <w:b/>
          <w:bCs/>
        </w:rPr>
        <w:t>T</w:t>
      </w:r>
      <w:r w:rsidR="0092121B" w:rsidRPr="0092121B">
        <w:rPr>
          <w:b/>
          <w:bCs/>
        </w:rPr>
        <w:t xml:space="preserve">he </w:t>
      </w:r>
      <w:r w:rsidRPr="0092121B">
        <w:rPr>
          <w:b/>
          <w:bCs/>
        </w:rPr>
        <w:t xml:space="preserve">Challenge </w:t>
      </w:r>
      <w:r w:rsidR="0092121B" w:rsidRPr="0092121B">
        <w:rPr>
          <w:b/>
          <w:bCs/>
        </w:rPr>
        <w:t>in these Proceedings</w:t>
      </w:r>
      <w:bookmarkEnd w:id="9"/>
      <w:r w:rsidR="0092121B" w:rsidRPr="0092121B">
        <w:rPr>
          <w:b/>
          <w:bCs/>
        </w:rPr>
        <w:t xml:space="preserve"> </w:t>
      </w:r>
    </w:p>
    <w:p w14:paraId="1468975B" w14:textId="721FD7B9" w:rsidR="00B27661" w:rsidRDefault="00AD7476" w:rsidP="000768DC">
      <w:pPr>
        <w:pStyle w:val="ParaLevel1"/>
      </w:pPr>
      <w:r>
        <w:t>In these proceedings, t</w:t>
      </w:r>
      <w:r w:rsidR="0011024C">
        <w:t xml:space="preserve">he </w:t>
      </w:r>
      <w:r w:rsidR="00D35510">
        <w:t>Claimants</w:t>
      </w:r>
      <w:r>
        <w:t xml:space="preserve"> seek judicial review </w:t>
      </w:r>
      <w:bookmarkStart w:id="10" w:name="_Hlk46790929"/>
      <w:r w:rsidR="00D35510">
        <w:t xml:space="preserve">of the failure of the </w:t>
      </w:r>
      <w:r w:rsidR="00EB454F">
        <w:t>Defendant</w:t>
      </w:r>
      <w:r w:rsidR="00D35510">
        <w:t xml:space="preserve"> to provide for state recognition of humanist marriages under </w:t>
      </w:r>
      <w:r w:rsidR="00E410BA">
        <w:t>English</w:t>
      </w:r>
      <w:r w:rsidR="00D35510">
        <w:t xml:space="preserve"> law</w:t>
      </w:r>
      <w:bookmarkEnd w:id="10"/>
      <w:r w:rsidR="00335B56">
        <w:t>; specifical</w:t>
      </w:r>
      <w:r w:rsidR="00545965">
        <w:t>ly</w:t>
      </w:r>
      <w:r w:rsidR="00BD6A99">
        <w:t>,</w:t>
      </w:r>
      <w:r w:rsidR="004F6D37">
        <w:t xml:space="preserve"> the </w:t>
      </w:r>
      <w:r w:rsidR="00301778">
        <w:t>Claimants seek</w:t>
      </w:r>
      <w:r w:rsidR="00335B56">
        <w:t xml:space="preserve">: </w:t>
      </w:r>
    </w:p>
    <w:p w14:paraId="61AA1984" w14:textId="7F10917D" w:rsidR="00812F21" w:rsidRDefault="00812F21" w:rsidP="000768DC">
      <w:pPr>
        <w:pStyle w:val="ParaLevel1"/>
        <w:numPr>
          <w:ilvl w:val="0"/>
          <w:numId w:val="22"/>
        </w:numPr>
      </w:pPr>
      <w:r>
        <w:t xml:space="preserve">Declaratory relief to the effect that the impugned legislation (the 1949 Act) </w:t>
      </w:r>
      <w:r w:rsidR="00AD57C2">
        <w:t xml:space="preserve">violates the Claimants’ </w:t>
      </w:r>
      <w:proofErr w:type="spellStart"/>
      <w:r w:rsidR="000A5474">
        <w:t>HRA</w:t>
      </w:r>
      <w:proofErr w:type="spellEnd"/>
      <w:r w:rsidR="00AD57C2">
        <w:t xml:space="preserve"> rights, protected by </w:t>
      </w:r>
      <w:r w:rsidR="000A5474">
        <w:t>a</w:t>
      </w:r>
      <w:r w:rsidR="00AD57C2">
        <w:t>rticle 14 ECHR.</w:t>
      </w:r>
    </w:p>
    <w:p w14:paraId="1A5DC8C1" w14:textId="313A1EB6" w:rsidR="00AD57C2" w:rsidRDefault="00AD57C2" w:rsidP="000768DC">
      <w:pPr>
        <w:pStyle w:val="ParaLevel1"/>
        <w:numPr>
          <w:ilvl w:val="0"/>
          <w:numId w:val="22"/>
        </w:numPr>
      </w:pPr>
      <w:r>
        <w:t>A declaration of incompatibility</w:t>
      </w:r>
      <w:r w:rsidR="00D26BDF">
        <w:t xml:space="preserve"> in respect of the 1949 Act </w:t>
      </w:r>
      <w:r w:rsidR="00B45A85">
        <w:t xml:space="preserve">pursuant to section 4 of the </w:t>
      </w:r>
      <w:proofErr w:type="spellStart"/>
      <w:r w:rsidR="000A5474">
        <w:t>HRA</w:t>
      </w:r>
      <w:proofErr w:type="spellEnd"/>
      <w:r w:rsidR="000A5474">
        <w:t>,</w:t>
      </w:r>
      <w:r>
        <w:t xml:space="preserve"> </w:t>
      </w:r>
      <w:r w:rsidR="00B45A85">
        <w:t xml:space="preserve">to the effect that the impugned legislation is not compatible with the Claimants’ rights under </w:t>
      </w:r>
      <w:r w:rsidR="000A5474">
        <w:t>a</w:t>
      </w:r>
      <w:r w:rsidR="00B45A85">
        <w:t xml:space="preserve">rticle 14 ECHR, taken together with </w:t>
      </w:r>
      <w:r w:rsidR="000A5474">
        <w:t>a</w:t>
      </w:r>
      <w:r w:rsidR="00B45A85">
        <w:t xml:space="preserve">rticles </w:t>
      </w:r>
      <w:r w:rsidR="008B08BB">
        <w:t>8 and 9.</w:t>
      </w:r>
    </w:p>
    <w:p w14:paraId="2AA7EAEF" w14:textId="0BB1128F" w:rsidR="00033B8C" w:rsidRDefault="002F04BC" w:rsidP="000768DC">
      <w:pPr>
        <w:pStyle w:val="ParaLevel1"/>
      </w:pPr>
      <w:r>
        <w:t>Although the Claimants do not seek any mandatory order – recognising that the precise language used to give the legal recognition they seek</w:t>
      </w:r>
      <w:r w:rsidR="00C06746">
        <w:t xml:space="preserve"> cannot be a matter for the court </w:t>
      </w:r>
      <w:r w:rsidR="002534FB">
        <w:t>– the</w:t>
      </w:r>
      <w:r w:rsidR="00033B8C">
        <w:t xml:space="preserve">ir desired goal is to be legally </w:t>
      </w:r>
      <w:r w:rsidR="00923ABA">
        <w:t>married via</w:t>
      </w:r>
      <w:r w:rsidR="00033B8C">
        <w:t xml:space="preserve"> a </w:t>
      </w:r>
      <w:r w:rsidR="00033B8C" w:rsidRPr="00B6586F">
        <w:rPr>
          <w:iCs/>
        </w:rPr>
        <w:t>distinctively</w:t>
      </w:r>
      <w:r w:rsidR="00033B8C">
        <w:t xml:space="preserve"> humanist form of marriage, according to the usages of Humanists UK, and without the attendance of state officials at their weddings</w:t>
      </w:r>
      <w:r w:rsidR="00923ABA">
        <w:t xml:space="preserve"> (see paragraph 1 of the Claimants’ Skeleton Argument)</w:t>
      </w:r>
      <w:r w:rsidR="00033B8C">
        <w:t>.</w:t>
      </w:r>
    </w:p>
    <w:p w14:paraId="08F971E0" w14:textId="26CE5EAF" w:rsidR="004946C2" w:rsidRDefault="00A2187A" w:rsidP="000768DC">
      <w:pPr>
        <w:pStyle w:val="ParaLevel1"/>
      </w:pPr>
      <w:r>
        <w:t>In bringing th</w:t>
      </w:r>
      <w:r w:rsidR="003050E8">
        <w:t>is</w:t>
      </w:r>
      <w:r>
        <w:t xml:space="preserve"> </w:t>
      </w:r>
      <w:r w:rsidR="004946C2">
        <w:t>claim</w:t>
      </w:r>
      <w:r>
        <w:t xml:space="preserve">, the Claimants complain </w:t>
      </w:r>
      <w:r w:rsidR="004946C2">
        <w:t>of discrimination in the</w:t>
      </w:r>
      <w:r w:rsidR="00CF4E28">
        <w:t xml:space="preserve"> </w:t>
      </w:r>
      <w:r w:rsidR="004946C2">
        <w:t>enjoyment of their right</w:t>
      </w:r>
      <w:r w:rsidR="00C63213">
        <w:t xml:space="preserve"> to a private and family life (a</w:t>
      </w:r>
      <w:r w:rsidR="004946C2">
        <w:t>rticle 8) and to freedom of belief (</w:t>
      </w:r>
      <w:r w:rsidR="00C63213">
        <w:t>a</w:t>
      </w:r>
      <w:r w:rsidR="004946C2">
        <w:t>rticle 9).  The</w:t>
      </w:r>
      <w:r w:rsidR="00FF4BD1">
        <w:t>y initially also complained</w:t>
      </w:r>
      <w:r w:rsidR="004946C2">
        <w:t xml:space="preserve"> of discrimination in respect of the</w:t>
      </w:r>
      <w:r w:rsidR="00FF4BD1">
        <w:t>ir</w:t>
      </w:r>
      <w:r w:rsidR="00C63213">
        <w:t xml:space="preserve"> a</w:t>
      </w:r>
      <w:r w:rsidR="004946C2">
        <w:t>rticle 12 right to marry</w:t>
      </w:r>
      <w:r w:rsidR="007F1BC2">
        <w:t>,</w:t>
      </w:r>
      <w:r w:rsidR="004946C2">
        <w:t xml:space="preserve"> but that </w:t>
      </w:r>
      <w:r w:rsidR="003050E8">
        <w:t xml:space="preserve">is no longer </w:t>
      </w:r>
      <w:r w:rsidR="004946C2">
        <w:t xml:space="preserve">pursued. </w:t>
      </w:r>
    </w:p>
    <w:p w14:paraId="1CC67F6C" w14:textId="280FF31B" w:rsidR="00FA2DAF" w:rsidRPr="009F711C" w:rsidRDefault="00FA2DAF" w:rsidP="000768DC">
      <w:pPr>
        <w:pStyle w:val="ParaLevel1"/>
        <w:rPr>
          <w:szCs w:val="24"/>
        </w:rPr>
      </w:pPr>
      <w:r w:rsidRPr="009F711C">
        <w:rPr>
          <w:szCs w:val="24"/>
        </w:rPr>
        <w:t>Article 8 ECHR provides for the right to respect for private and family life</w:t>
      </w:r>
      <w:r w:rsidR="005C4EC4">
        <w:rPr>
          <w:szCs w:val="24"/>
        </w:rPr>
        <w:t xml:space="preserve"> in the following terms</w:t>
      </w:r>
      <w:r w:rsidRPr="009F711C">
        <w:rPr>
          <w:szCs w:val="24"/>
        </w:rPr>
        <w:t>:</w:t>
      </w:r>
    </w:p>
    <w:p w14:paraId="19F8EF64" w14:textId="23BEA136" w:rsidR="009F711C" w:rsidRDefault="009F711C" w:rsidP="000768DC">
      <w:pPr>
        <w:pStyle w:val="Quote"/>
      </w:pPr>
      <w:r>
        <w:lastRenderedPageBreak/>
        <w:t>“</w:t>
      </w:r>
      <w:r w:rsidRPr="009F711C">
        <w:t>1. Everyone has the right to respect for his private and family life, his home and his correspondence.</w:t>
      </w:r>
    </w:p>
    <w:p w14:paraId="2BDD3779" w14:textId="25BD5E86" w:rsidR="00FA2DAF" w:rsidRPr="009F711C" w:rsidRDefault="009F711C" w:rsidP="000768DC">
      <w:pPr>
        <w:pStyle w:val="Quote"/>
      </w:pPr>
      <w:r w:rsidRPr="009F711C">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t>.”</w:t>
      </w:r>
    </w:p>
    <w:p w14:paraId="6610C294" w14:textId="0706690D" w:rsidR="009F711C" w:rsidRPr="00426AC1" w:rsidRDefault="009F711C" w:rsidP="000768DC">
      <w:pPr>
        <w:pStyle w:val="ParaLevel1"/>
        <w:rPr>
          <w:szCs w:val="24"/>
        </w:rPr>
      </w:pPr>
      <w:r w:rsidRPr="00426AC1">
        <w:rPr>
          <w:szCs w:val="24"/>
        </w:rPr>
        <w:t xml:space="preserve">Article 9 </w:t>
      </w:r>
      <w:r w:rsidR="00426AC1" w:rsidRPr="00426AC1">
        <w:rPr>
          <w:szCs w:val="24"/>
        </w:rPr>
        <w:t>relates to freedom of thought,</w:t>
      </w:r>
      <w:r w:rsidR="00E16260">
        <w:rPr>
          <w:szCs w:val="24"/>
        </w:rPr>
        <w:t xml:space="preserve"> </w:t>
      </w:r>
      <w:r w:rsidR="00F24C41">
        <w:rPr>
          <w:szCs w:val="24"/>
        </w:rPr>
        <w:t xml:space="preserve">conscience </w:t>
      </w:r>
      <w:r w:rsidR="00426AC1" w:rsidRPr="00426AC1">
        <w:rPr>
          <w:szCs w:val="24"/>
        </w:rPr>
        <w:t>and religion, providing:</w:t>
      </w:r>
    </w:p>
    <w:p w14:paraId="57D23055" w14:textId="77777777" w:rsidR="00426AC1" w:rsidRDefault="00426AC1" w:rsidP="000768DC">
      <w:pPr>
        <w:pStyle w:val="Quote"/>
      </w:pPr>
      <w:r>
        <w:t>“</w:t>
      </w:r>
      <w:r w:rsidRPr="00426AC1">
        <w:t>1.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14:paraId="6088D50D" w14:textId="42B93FD2" w:rsidR="00426AC1" w:rsidRPr="00426AC1" w:rsidRDefault="00426AC1" w:rsidP="000768DC">
      <w:pPr>
        <w:pStyle w:val="Quote"/>
      </w:pPr>
      <w:r w:rsidRPr="00426AC1">
        <w:t>2. 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t>”</w:t>
      </w:r>
    </w:p>
    <w:p w14:paraId="321E27C8" w14:textId="3CBF933C" w:rsidR="00426AC1" w:rsidRDefault="00FF467D" w:rsidP="000768DC">
      <w:pPr>
        <w:pStyle w:val="ParaLevel1"/>
      </w:pPr>
      <w:r>
        <w:t>By a</w:t>
      </w:r>
      <w:r w:rsidR="00426AC1">
        <w:t>rticle 1</w:t>
      </w:r>
      <w:r w:rsidR="003E5DFC">
        <w:t>4 it is provided that:</w:t>
      </w:r>
    </w:p>
    <w:p w14:paraId="141DDD37" w14:textId="42A597C8" w:rsidR="003E5DFC" w:rsidRPr="00FA3534" w:rsidRDefault="00FA3534" w:rsidP="000768DC">
      <w:pPr>
        <w:pStyle w:val="Quote"/>
      </w:pPr>
      <w:r>
        <w:t>“</w:t>
      </w:r>
      <w:bookmarkStart w:id="11" w:name="_Hlk45816595"/>
      <w:r w:rsidR="003E5DFC" w:rsidRPr="00FA3534">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Pr="00FA3534">
        <w:t>.</w:t>
      </w:r>
      <w:r>
        <w:t>”</w:t>
      </w:r>
    </w:p>
    <w:bookmarkEnd w:id="11"/>
    <w:p w14:paraId="439D51AA" w14:textId="70680301" w:rsidR="009B6C48" w:rsidRDefault="00953F5D" w:rsidP="000768DC">
      <w:pPr>
        <w:pStyle w:val="ParaLevel1"/>
      </w:pPr>
      <w:r>
        <w:t xml:space="preserve">To determine the </w:t>
      </w:r>
      <w:r w:rsidRPr="005679ED">
        <w:t xml:space="preserve">claim, it is common ground that I must first decide whether there has been discrimination </w:t>
      </w:r>
      <w:r w:rsidR="00024B51" w:rsidRPr="005679ED">
        <w:t>that the Defendant has failed to justify</w:t>
      </w:r>
      <w:r w:rsidR="00A7031B">
        <w:t xml:space="preserve">.  That, in turn, </w:t>
      </w:r>
      <w:r w:rsidR="005679ED" w:rsidRPr="005679ED">
        <w:t xml:space="preserve">requires me to consider the following five questions </w:t>
      </w:r>
      <w:r w:rsidR="005679ED">
        <w:t xml:space="preserve">(as identified by Lord Steyn at paragraph 42, </w:t>
      </w:r>
      <w:r w:rsidR="005679ED" w:rsidRPr="005679ED">
        <w:rPr>
          <w:i/>
        </w:rPr>
        <w:t xml:space="preserve">R (S) v Chief Constable of South Yorkshire </w:t>
      </w:r>
      <w:r w:rsidR="005679ED" w:rsidRPr="005679ED">
        <w:t>[2004] 1 WLR 2196</w:t>
      </w:r>
      <w:r w:rsidR="009B6C48">
        <w:t>):</w:t>
      </w:r>
    </w:p>
    <w:p w14:paraId="58FA0319" w14:textId="0ABC6B5C" w:rsidR="00AF17FC" w:rsidRPr="005679ED" w:rsidRDefault="009B6C48" w:rsidP="000768DC">
      <w:pPr>
        <w:pStyle w:val="Quote"/>
      </w:pPr>
      <w:r>
        <w:t>“</w:t>
      </w:r>
      <w:r w:rsidR="00AF17FC" w:rsidRPr="005679ED">
        <w:t xml:space="preserve">(1) Do the facts fall within the ambit of one or more of the Convention rights? (2) Was there a difference in treatment in respect of that right between the complainant and others put forward for comparison? (3) If so, was the difference in treatment on one or more of the prescribed grounds under article 14? </w:t>
      </w:r>
      <w:bookmarkStart w:id="12" w:name="_Hlk45986542"/>
      <w:r w:rsidR="00AF17FC" w:rsidRPr="005679ED">
        <w:t>(4) Were those others in an analogous situation?</w:t>
      </w:r>
      <w:bookmarkEnd w:id="12"/>
      <w:r w:rsidR="00AF17FC" w:rsidRPr="005679ED">
        <w:t xml:space="preserve"> (5) </w:t>
      </w:r>
      <w:bookmarkStart w:id="13" w:name="_Hlk46090621"/>
      <w:r w:rsidR="00AF17FC" w:rsidRPr="005679ED">
        <w:t>Was the difference in treatment objectively justifiable in the sense that it had a legitimate aim and bore a reasonable relationship of proportionality to that aim?</w:t>
      </w:r>
      <w:r>
        <w:t>”</w:t>
      </w:r>
      <w:bookmarkEnd w:id="13"/>
    </w:p>
    <w:p w14:paraId="26624965" w14:textId="598A8742" w:rsidR="00AF17FC" w:rsidRPr="005679ED" w:rsidRDefault="00A633FF" w:rsidP="000768DC">
      <w:pPr>
        <w:pStyle w:val="ParaLevel1"/>
        <w:numPr>
          <w:ilvl w:val="0"/>
          <w:numId w:val="0"/>
        </w:numPr>
        <w:ind w:left="720"/>
      </w:pPr>
      <w:r>
        <w:t xml:space="preserve">I consider each of these </w:t>
      </w:r>
      <w:r w:rsidR="008B6820">
        <w:t>points</w:t>
      </w:r>
      <w:r>
        <w:t xml:space="preserve"> belo</w:t>
      </w:r>
      <w:r w:rsidR="004B0539">
        <w:t>w</w:t>
      </w:r>
      <w:r w:rsidR="004F0A1A">
        <w:t xml:space="preserve">, albeit I </w:t>
      </w:r>
      <w:r w:rsidR="00FB5363">
        <w:t>address</w:t>
      </w:r>
      <w:r w:rsidR="004B0539">
        <w:t xml:space="preserve"> questions (2) and (4) together</w:t>
      </w:r>
      <w:r>
        <w:t>.</w:t>
      </w:r>
      <w:r w:rsidR="00A06968">
        <w:t xml:space="preserve">  </w:t>
      </w:r>
    </w:p>
    <w:p w14:paraId="3EAEF12D" w14:textId="77777777" w:rsidR="0075305A" w:rsidRDefault="0075305A" w:rsidP="000768DC">
      <w:pPr>
        <w:pStyle w:val="ParaLevel1"/>
        <w:numPr>
          <w:ilvl w:val="0"/>
          <w:numId w:val="0"/>
        </w:numPr>
        <w:ind w:left="720" w:hanging="720"/>
        <w:rPr>
          <w:b/>
          <w:bCs/>
          <w:i/>
          <w:iCs/>
        </w:rPr>
      </w:pPr>
      <w:bookmarkStart w:id="14" w:name="ambit"/>
    </w:p>
    <w:p w14:paraId="1A75570D" w14:textId="6855CD39" w:rsidR="00201ADA" w:rsidRPr="005679ED" w:rsidRDefault="008B6820" w:rsidP="000768DC">
      <w:pPr>
        <w:pStyle w:val="ParaLevel1"/>
        <w:numPr>
          <w:ilvl w:val="0"/>
          <w:numId w:val="0"/>
        </w:numPr>
        <w:ind w:left="720" w:hanging="720"/>
      </w:pPr>
      <w:r>
        <w:rPr>
          <w:b/>
          <w:bCs/>
          <w:i/>
          <w:iCs/>
        </w:rPr>
        <w:lastRenderedPageBreak/>
        <w:t>Ambit</w:t>
      </w:r>
    </w:p>
    <w:p w14:paraId="206F47FE" w14:textId="118D32DD" w:rsidR="00D21FA0" w:rsidRPr="00D21FA0" w:rsidRDefault="00D21FA0" w:rsidP="000768DC">
      <w:pPr>
        <w:pStyle w:val="ParaLevel1"/>
        <w:numPr>
          <w:ilvl w:val="0"/>
          <w:numId w:val="0"/>
        </w:numPr>
        <w:ind w:left="720" w:hanging="720"/>
        <w:rPr>
          <w:i/>
          <w:iCs/>
        </w:rPr>
      </w:pPr>
      <w:bookmarkStart w:id="15" w:name="parties_submissions1"/>
      <w:bookmarkEnd w:id="14"/>
      <w:r w:rsidRPr="00D21FA0">
        <w:rPr>
          <w:i/>
          <w:iCs/>
        </w:rPr>
        <w:t xml:space="preserve">The Parties’ </w:t>
      </w:r>
      <w:r>
        <w:rPr>
          <w:i/>
          <w:iCs/>
        </w:rPr>
        <w:t>Submissions</w:t>
      </w:r>
    </w:p>
    <w:bookmarkEnd w:id="15"/>
    <w:p w14:paraId="418F13B9" w14:textId="1CAF65AE" w:rsidR="00803A4A" w:rsidRDefault="00052A4A" w:rsidP="000768DC">
      <w:pPr>
        <w:pStyle w:val="ParaLevel1"/>
      </w:pPr>
      <w:r>
        <w:t>It is common ground that a</w:t>
      </w:r>
      <w:r w:rsidR="00416EBD">
        <w:t xml:space="preserve">rticle 14 ECHR does not </w:t>
      </w:r>
      <w:r w:rsidR="009F787E">
        <w:t xml:space="preserve">give rise to a freestanding right to freedom from discrimination but prohibits discrimination in the enjoyment of </w:t>
      </w:r>
      <w:r w:rsidR="0078659B">
        <w:t xml:space="preserve">rights under the ECHR; to </w:t>
      </w:r>
      <w:r w:rsidR="00093DA8">
        <w:t>have recourse to article 14, the discrimination in question must fall within the ambit of another ECHR right</w:t>
      </w:r>
      <w:r w:rsidR="00FC38CA">
        <w:t xml:space="preserve"> (</w:t>
      </w:r>
      <w:r w:rsidR="009E0940">
        <w:t xml:space="preserve">see per Lord Kerr of </w:t>
      </w:r>
      <w:proofErr w:type="spellStart"/>
      <w:r w:rsidR="009E0940">
        <w:t>Tonaghmore</w:t>
      </w:r>
      <w:proofErr w:type="spellEnd"/>
      <w:r w:rsidR="009E0940">
        <w:t xml:space="preserve"> </w:t>
      </w:r>
      <w:proofErr w:type="spellStart"/>
      <w:r w:rsidR="00B41B1A">
        <w:t>JSC</w:t>
      </w:r>
      <w:proofErr w:type="spellEnd"/>
      <w:r w:rsidR="00B83F49">
        <w:t xml:space="preserve"> at paragraph 16</w:t>
      </w:r>
      <w:r w:rsidR="00B73D98">
        <w:t xml:space="preserve"> and</w:t>
      </w:r>
      <w:r w:rsidR="00B83F49">
        <w:t xml:space="preserve"> </w:t>
      </w:r>
      <w:r w:rsidR="00F80131" w:rsidRPr="00B83F49">
        <w:rPr>
          <w:i/>
          <w:iCs/>
        </w:rPr>
        <w:t>R (</w:t>
      </w:r>
      <w:proofErr w:type="spellStart"/>
      <w:r w:rsidR="00F80131" w:rsidRPr="00B83F49">
        <w:rPr>
          <w:i/>
          <w:iCs/>
        </w:rPr>
        <w:t>oao</w:t>
      </w:r>
      <w:proofErr w:type="spellEnd"/>
      <w:r w:rsidR="00F80131" w:rsidRPr="00B83F49">
        <w:rPr>
          <w:i/>
          <w:iCs/>
        </w:rPr>
        <w:t xml:space="preserve"> Steinfeld) v Secretary of State for Education</w:t>
      </w:r>
      <w:r w:rsidR="00F80131">
        <w:t xml:space="preserve"> [2020] AC </w:t>
      </w:r>
      <w:r w:rsidR="0034536C">
        <w:t xml:space="preserve">1 </w:t>
      </w:r>
      <w:r w:rsidR="00A81553">
        <w:t>S</w:t>
      </w:r>
      <w:r w:rsidR="0034536C">
        <w:t>C</w:t>
      </w:r>
      <w:r w:rsidR="00AE1122">
        <w:t>)</w:t>
      </w:r>
      <w:r w:rsidR="00093DA8">
        <w:t xml:space="preserve">. </w:t>
      </w:r>
    </w:p>
    <w:p w14:paraId="1FF7A4DE" w14:textId="7785A538" w:rsidR="00CD1FB1" w:rsidRDefault="00104AEF" w:rsidP="000768DC">
      <w:pPr>
        <w:pStyle w:val="ParaLevel1"/>
      </w:pPr>
      <w:r>
        <w:t xml:space="preserve">In </w:t>
      </w:r>
      <w:r w:rsidR="00713A24">
        <w:t xml:space="preserve">the </w:t>
      </w:r>
      <w:r w:rsidR="006C713D">
        <w:t xml:space="preserve">Detailed Grounds of Defence, </w:t>
      </w:r>
      <w:r w:rsidR="00713A24">
        <w:t xml:space="preserve">it was </w:t>
      </w:r>
      <w:r w:rsidR="00B66E5E">
        <w:t>contended that the facts of this case did not fall within the ambit of any of the articles of the ECHR relied on by the Claimants.</w:t>
      </w:r>
      <w:r>
        <w:t xml:space="preserve"> </w:t>
      </w:r>
      <w:r w:rsidR="00B66E5E">
        <w:t xml:space="preserve"> </w:t>
      </w:r>
      <w:proofErr w:type="gramStart"/>
      <w:r w:rsidR="00DF1829">
        <w:t>O</w:t>
      </w:r>
      <w:r w:rsidR="00876055">
        <w:t>n the basis of</w:t>
      </w:r>
      <w:proofErr w:type="gramEnd"/>
      <w:r w:rsidR="00876055">
        <w:t xml:space="preserve"> the evidence filed</w:t>
      </w:r>
      <w:r w:rsidR="00686E69">
        <w:t xml:space="preserve"> relating to the individual</w:t>
      </w:r>
      <w:r w:rsidR="00876055">
        <w:t xml:space="preserve"> Claimants, </w:t>
      </w:r>
      <w:r w:rsidR="00686E69">
        <w:t xml:space="preserve">however, </w:t>
      </w:r>
      <w:r w:rsidR="00876055">
        <w:t>the Defendant now accepts “</w:t>
      </w:r>
      <w:r w:rsidR="00876055" w:rsidRPr="006253B9">
        <w:rPr>
          <w:i/>
          <w:iCs/>
        </w:rPr>
        <w:t xml:space="preserve">that the facts as they relate to the Claimants in this case fall, just, within the ambit of </w:t>
      </w:r>
      <w:r w:rsidR="00FF467D">
        <w:rPr>
          <w:i/>
          <w:iCs/>
        </w:rPr>
        <w:t>a</w:t>
      </w:r>
      <w:r w:rsidR="00876055" w:rsidRPr="006253B9">
        <w:rPr>
          <w:i/>
          <w:iCs/>
        </w:rPr>
        <w:t>rticle 9 of the ECHR …</w:t>
      </w:r>
      <w:r w:rsidR="00876055">
        <w:t>”</w:t>
      </w:r>
      <w:r w:rsidR="00EC0CE4">
        <w:t xml:space="preserve"> </w:t>
      </w:r>
      <w:r w:rsidR="00686E69">
        <w:t>(</w:t>
      </w:r>
      <w:r w:rsidR="00EC0CE4">
        <w:t>paragraph 35, Defendant’s Skeleton Argument)</w:t>
      </w:r>
      <w:r w:rsidR="00876055">
        <w:t xml:space="preserve">.  </w:t>
      </w:r>
    </w:p>
    <w:p w14:paraId="25D62996" w14:textId="642C4C2F" w:rsidR="00F67FB9" w:rsidRDefault="007161BB" w:rsidP="000768DC">
      <w:pPr>
        <w:pStyle w:val="ParaLevel1"/>
      </w:pPr>
      <w:r>
        <w:t xml:space="preserve">Notwithstanding this concession, it is </w:t>
      </w:r>
      <w:r w:rsidR="00FD55E3">
        <w:t>common ground that I must</w:t>
      </w:r>
      <w:r>
        <w:t xml:space="preserve"> make my own findings on the question of ambit</w:t>
      </w:r>
      <w:r w:rsidR="001842E8">
        <w:t>: (</w:t>
      </w:r>
      <w:proofErr w:type="spellStart"/>
      <w:r w:rsidR="001842E8">
        <w:t>i</w:t>
      </w:r>
      <w:proofErr w:type="spellEnd"/>
      <w:r w:rsidR="001842E8">
        <w:t xml:space="preserve">) </w:t>
      </w:r>
      <w:r w:rsidR="00D26D86">
        <w:t>because the extent of the connection with the underlying right</w:t>
      </w:r>
      <w:r w:rsidR="00C30EF5">
        <w:t>s</w:t>
      </w:r>
      <w:r w:rsidR="00D26D86">
        <w:t xml:space="preserve"> relied on is material to the other questions I need to answer, </w:t>
      </w:r>
      <w:proofErr w:type="gramStart"/>
      <w:r w:rsidR="00D26D86">
        <w:t>in particular as</w:t>
      </w:r>
      <w:proofErr w:type="gramEnd"/>
      <w:r w:rsidR="00D26D86">
        <w:t xml:space="preserve"> to justification; and (ii) </w:t>
      </w:r>
      <w:r w:rsidR="001842E8">
        <w:t>because no such concession is made in respect of article 8 ECHR</w:t>
      </w:r>
      <w:r w:rsidR="00F67FB9">
        <w:t xml:space="preserve">. </w:t>
      </w:r>
    </w:p>
    <w:p w14:paraId="7771BA91" w14:textId="47806E7A" w:rsidR="00681F46" w:rsidRDefault="003A2D40" w:rsidP="000768DC">
      <w:pPr>
        <w:pStyle w:val="ParaLevel1"/>
      </w:pPr>
      <w:r>
        <w:t xml:space="preserve">The </w:t>
      </w:r>
      <w:r w:rsidR="000615CA">
        <w:t xml:space="preserve">parties do not, however, agree as to the approach I am to adopt </w:t>
      </w:r>
      <w:r w:rsidR="00730480">
        <w:t>in determining th</w:t>
      </w:r>
      <w:r w:rsidR="004D74D5">
        <w:t>is</w:t>
      </w:r>
      <w:r w:rsidR="00730480">
        <w:t xml:space="preserve"> question.  For the Defendant, reliance is placed on </w:t>
      </w:r>
      <w:r w:rsidR="00136399">
        <w:t xml:space="preserve">guidance provided by the House of Lords in </w:t>
      </w:r>
      <w:r w:rsidR="00136399" w:rsidRPr="00136399">
        <w:rPr>
          <w:i/>
          <w:iCs/>
          <w:lang w:eastAsia="en-GB"/>
        </w:rPr>
        <w:t>M v Secretary of State for Work and Pensions</w:t>
      </w:r>
      <w:r w:rsidR="00136399" w:rsidRPr="005960AD">
        <w:rPr>
          <w:lang w:eastAsia="en-GB"/>
        </w:rPr>
        <w:t xml:space="preserve"> [2006] 2 AC 91</w:t>
      </w:r>
      <w:r w:rsidR="00CF4EB6">
        <w:rPr>
          <w:lang w:eastAsia="en-GB"/>
        </w:rPr>
        <w:t xml:space="preserve">, where </w:t>
      </w:r>
      <w:r w:rsidR="00136399" w:rsidRPr="005960AD">
        <w:rPr>
          <w:lang w:eastAsia="en-GB"/>
        </w:rPr>
        <w:t>Lord Nicholls held that</w:t>
      </w:r>
      <w:r w:rsidR="00CF4EB6">
        <w:rPr>
          <w:lang w:eastAsia="en-GB"/>
        </w:rPr>
        <w:t>:</w:t>
      </w:r>
    </w:p>
    <w:p w14:paraId="1BB19177" w14:textId="1D294A24" w:rsidR="00136399" w:rsidRPr="002D0480" w:rsidRDefault="00136399" w:rsidP="000768DC">
      <w:pPr>
        <w:pStyle w:val="Quote"/>
      </w:pPr>
      <w:r w:rsidRPr="005960AD">
        <w:rPr>
          <w:lang w:eastAsia="en-GB"/>
        </w:rPr>
        <w:t>“</w:t>
      </w:r>
      <w:r w:rsidR="002424A8">
        <w:rPr>
          <w:lang w:eastAsia="en-GB"/>
        </w:rPr>
        <w:t xml:space="preserve">14. … </w:t>
      </w:r>
      <w:r w:rsidRPr="005960AD">
        <w:rPr>
          <w:lang w:eastAsia="en-GB"/>
        </w:rPr>
        <w:t xml:space="preserve">the approach to be distilled from the Strasbourg jurisprudence is that the more seriously and directly the discriminatory provision or conduct impinges upon the values underlying the </w:t>
      </w:r>
      <w:proofErr w:type="gramStart"/>
      <w:r w:rsidRPr="005960AD">
        <w:rPr>
          <w:lang w:eastAsia="en-GB"/>
        </w:rPr>
        <w:t>particular substantive</w:t>
      </w:r>
      <w:proofErr w:type="gramEnd"/>
      <w:r w:rsidRPr="005960AD">
        <w:rPr>
          <w:lang w:eastAsia="en-GB"/>
        </w:rPr>
        <w:t xml:space="preserve"> article, the more readily </w:t>
      </w:r>
      <w:r w:rsidRPr="002D0480">
        <w:rPr>
          <w:lang w:eastAsia="en-GB"/>
        </w:rPr>
        <w:t>will it be regarded as within the ambit of that article; and vice versa. In other words, the EC</w:t>
      </w:r>
      <w:r w:rsidR="00F17075">
        <w:rPr>
          <w:lang w:eastAsia="en-GB"/>
        </w:rPr>
        <w:t>)</w:t>
      </w:r>
      <w:r w:rsidRPr="002D0480">
        <w:rPr>
          <w:lang w:eastAsia="en-GB"/>
        </w:rPr>
        <w:t>HR makes in each case what in English law is often called a “value judgment”.”</w:t>
      </w:r>
    </w:p>
    <w:p w14:paraId="6D88772F" w14:textId="60DBB013" w:rsidR="00D06E8F" w:rsidRPr="00D06E8F" w:rsidRDefault="001D7E43" w:rsidP="000768DC">
      <w:pPr>
        <w:pStyle w:val="ParaLevel1"/>
        <w:rPr>
          <w:szCs w:val="24"/>
        </w:rPr>
      </w:pPr>
      <w:r>
        <w:t xml:space="preserve">The Defendant also refers to the </w:t>
      </w:r>
      <w:r w:rsidR="00537804">
        <w:t>speech</w:t>
      </w:r>
      <w:r w:rsidR="00056A85">
        <w:t xml:space="preserve"> of </w:t>
      </w:r>
      <w:r w:rsidR="00B30573" w:rsidRPr="00537804">
        <w:rPr>
          <w:szCs w:val="24"/>
        </w:rPr>
        <w:t>Lord Bingham</w:t>
      </w:r>
      <w:r w:rsidR="00E93D04">
        <w:rPr>
          <w:szCs w:val="24"/>
        </w:rPr>
        <w:t xml:space="preserve"> of Cornhill</w:t>
      </w:r>
      <w:r w:rsidR="00B30573" w:rsidRPr="00537804">
        <w:rPr>
          <w:szCs w:val="24"/>
        </w:rPr>
        <w:t xml:space="preserve"> </w:t>
      </w:r>
      <w:r w:rsidR="00056A85" w:rsidRPr="00537804">
        <w:rPr>
          <w:szCs w:val="24"/>
        </w:rPr>
        <w:t xml:space="preserve">in </w:t>
      </w:r>
      <w:r w:rsidR="00420771" w:rsidRPr="00537804">
        <w:rPr>
          <w:i/>
          <w:color w:val="000000"/>
          <w:szCs w:val="24"/>
          <w:lang w:eastAsia="en-GB"/>
        </w:rPr>
        <w:t xml:space="preserve">R (Clift) v Secretary of State for the Home Department </w:t>
      </w:r>
      <w:r w:rsidR="00420771" w:rsidRPr="00537804">
        <w:rPr>
          <w:color w:val="000000"/>
          <w:szCs w:val="24"/>
          <w:lang w:eastAsia="en-GB"/>
        </w:rPr>
        <w:t>[2007] 1 AC 484</w:t>
      </w:r>
      <w:r w:rsidR="00537804">
        <w:rPr>
          <w:color w:val="000000"/>
          <w:szCs w:val="24"/>
          <w:lang w:eastAsia="en-GB"/>
        </w:rPr>
        <w:t>, holding that</w:t>
      </w:r>
      <w:r w:rsidR="00937239">
        <w:rPr>
          <w:color w:val="000000"/>
          <w:szCs w:val="24"/>
          <w:lang w:eastAsia="en-GB"/>
        </w:rPr>
        <w:t xml:space="preserve"> the term “ambit”</w:t>
      </w:r>
      <w:r w:rsidR="00CF21FC">
        <w:rPr>
          <w:color w:val="000000"/>
          <w:szCs w:val="24"/>
          <w:lang w:eastAsia="en-GB"/>
        </w:rPr>
        <w:t xml:space="preserve"> denotes</w:t>
      </w:r>
      <w:r w:rsidR="00537804">
        <w:rPr>
          <w:color w:val="000000"/>
          <w:szCs w:val="24"/>
          <w:lang w:eastAsia="en-GB"/>
        </w:rPr>
        <w:t>:</w:t>
      </w:r>
    </w:p>
    <w:p w14:paraId="4B721245" w14:textId="1B11E6BD" w:rsidR="005960AD" w:rsidRPr="00537804" w:rsidRDefault="00420771" w:rsidP="000768DC">
      <w:pPr>
        <w:pStyle w:val="Quote"/>
      </w:pPr>
      <w:r w:rsidRPr="00537804">
        <w:rPr>
          <w:lang w:eastAsia="en-GB"/>
        </w:rPr>
        <w:t>“</w:t>
      </w:r>
      <w:r w:rsidR="00CF21FC">
        <w:rPr>
          <w:lang w:eastAsia="en-GB"/>
        </w:rPr>
        <w:t xml:space="preserve">13. … </w:t>
      </w:r>
      <w:r w:rsidRPr="00537804">
        <w:rPr>
          <w:lang w:eastAsia="en-GB"/>
        </w:rPr>
        <w:t xml:space="preserve">a situation in which a substantive Convention right is not violated, but in which a personal interest close to the core of such a right is infringed. </w:t>
      </w:r>
      <w:proofErr w:type="gramStart"/>
      <w:r w:rsidRPr="00537804">
        <w:rPr>
          <w:lang w:eastAsia="en-GB"/>
        </w:rPr>
        <w:t>This calls</w:t>
      </w:r>
      <w:proofErr w:type="gramEnd"/>
      <w:r w:rsidRPr="00537804">
        <w:rPr>
          <w:lang w:eastAsia="en-GB"/>
        </w:rPr>
        <w:t xml:space="preserve">, as Lord Nicholls said in M, at para 14, for a value judgment. The court is required to consider, in respect of the Convention right relied on, what value that substantive right exists to protect.” </w:t>
      </w:r>
    </w:p>
    <w:p w14:paraId="163CA769" w14:textId="672D25FC" w:rsidR="00740300" w:rsidRDefault="00FB4772" w:rsidP="000768DC">
      <w:pPr>
        <w:pStyle w:val="ParaLevel1"/>
        <w:rPr>
          <w:lang w:eastAsia="en-GB"/>
        </w:rPr>
      </w:pPr>
      <w:r>
        <w:rPr>
          <w:lang w:eastAsia="en-GB"/>
        </w:rPr>
        <w:t xml:space="preserve">The Defendant further </w:t>
      </w:r>
      <w:r w:rsidR="004C563A">
        <w:rPr>
          <w:lang w:eastAsia="en-GB"/>
        </w:rPr>
        <w:t>references</w:t>
      </w:r>
      <w:r w:rsidR="00DC0C72">
        <w:rPr>
          <w:lang w:eastAsia="en-GB"/>
        </w:rPr>
        <w:t xml:space="preserve"> the Judgment of Arden LJ (as she then was), i</w:t>
      </w:r>
      <w:r w:rsidR="006A12CB">
        <w:rPr>
          <w:lang w:eastAsia="en-GB"/>
        </w:rPr>
        <w:t>n</w:t>
      </w:r>
      <w:r w:rsidR="00420771" w:rsidRPr="00537804">
        <w:rPr>
          <w:lang w:eastAsia="en-GB"/>
        </w:rPr>
        <w:t xml:space="preserve"> </w:t>
      </w:r>
      <w:r w:rsidR="00420771" w:rsidRPr="00807454">
        <w:rPr>
          <w:i/>
          <w:iCs/>
          <w:lang w:eastAsia="en-GB"/>
        </w:rPr>
        <w:t>R (Steinfeld) v Secretary of State for Education</w:t>
      </w:r>
      <w:r w:rsidR="00420771" w:rsidRPr="00537804">
        <w:rPr>
          <w:lang w:eastAsia="en-GB"/>
        </w:rPr>
        <w:t xml:space="preserve"> [2018] QB 519</w:t>
      </w:r>
      <w:r w:rsidR="002811DB">
        <w:rPr>
          <w:lang w:eastAsia="en-GB"/>
        </w:rPr>
        <w:t xml:space="preserve"> CA, where</w:t>
      </w:r>
      <w:r w:rsidR="00C67300">
        <w:rPr>
          <w:lang w:eastAsia="en-GB"/>
        </w:rPr>
        <w:t xml:space="preserve"> (referring back to </w:t>
      </w:r>
      <w:r w:rsidR="00420771" w:rsidRPr="00537804">
        <w:rPr>
          <w:lang w:eastAsia="en-GB"/>
        </w:rPr>
        <w:t>Lord Bingham’s phrase “</w:t>
      </w:r>
      <w:r w:rsidR="00420771" w:rsidRPr="003517A7">
        <w:rPr>
          <w:i/>
          <w:iCs/>
          <w:lang w:eastAsia="en-GB"/>
        </w:rPr>
        <w:t xml:space="preserve">personal interest </w:t>
      </w:r>
      <w:proofErr w:type="gramStart"/>
      <w:r w:rsidR="00420771" w:rsidRPr="003517A7">
        <w:rPr>
          <w:i/>
          <w:iCs/>
          <w:lang w:eastAsia="en-GB"/>
        </w:rPr>
        <w:t>close</w:t>
      </w:r>
      <w:proofErr w:type="gramEnd"/>
      <w:r w:rsidR="00420771" w:rsidRPr="003517A7">
        <w:rPr>
          <w:i/>
          <w:iCs/>
          <w:lang w:eastAsia="en-GB"/>
        </w:rPr>
        <w:t xml:space="preserve"> to the core</w:t>
      </w:r>
      <w:r w:rsidR="00450F0C">
        <w:rPr>
          <w:i/>
          <w:iCs/>
          <w:lang w:eastAsia="en-GB"/>
        </w:rPr>
        <w:t xml:space="preserve"> of such a right</w:t>
      </w:r>
      <w:r w:rsidR="00420771" w:rsidRPr="00537804">
        <w:rPr>
          <w:lang w:eastAsia="en-GB"/>
        </w:rPr>
        <w:t>”</w:t>
      </w:r>
      <w:r w:rsidR="00450F0C">
        <w:rPr>
          <w:lang w:eastAsia="en-GB"/>
        </w:rPr>
        <w:t>)</w:t>
      </w:r>
      <w:r w:rsidR="005B1137">
        <w:rPr>
          <w:lang w:eastAsia="en-GB"/>
        </w:rPr>
        <w:t xml:space="preserve">, </w:t>
      </w:r>
      <w:r w:rsidR="00F27149">
        <w:rPr>
          <w:lang w:eastAsia="en-GB"/>
        </w:rPr>
        <w:t>she held</w:t>
      </w:r>
      <w:r w:rsidR="00740300">
        <w:rPr>
          <w:lang w:eastAsia="en-GB"/>
        </w:rPr>
        <w:t xml:space="preserve"> that:</w:t>
      </w:r>
    </w:p>
    <w:p w14:paraId="34B11B2E" w14:textId="51C6ABF3" w:rsidR="00420771" w:rsidRDefault="00494B74" w:rsidP="000768DC">
      <w:pPr>
        <w:pStyle w:val="Quote"/>
        <w:rPr>
          <w:lang w:eastAsia="en-GB"/>
        </w:rPr>
      </w:pPr>
      <w:r>
        <w:rPr>
          <w:lang w:eastAsia="en-GB"/>
        </w:rPr>
        <w:lastRenderedPageBreak/>
        <w:t>“</w:t>
      </w:r>
      <w:r>
        <w:t>61. …</w:t>
      </w:r>
      <w:r w:rsidR="00420771" w:rsidRPr="00537804">
        <w:t>The core of a right is ascertained by identifying the values at stake. It means that the Convention is only concerned with disputes about discrimination which are “of moment” and not peripheral issues.”</w:t>
      </w:r>
      <w:r w:rsidR="00420771" w:rsidRPr="00537804">
        <w:rPr>
          <w:lang w:eastAsia="en-GB"/>
        </w:rPr>
        <w:t xml:space="preserve">  </w:t>
      </w:r>
    </w:p>
    <w:p w14:paraId="4B695EFC" w14:textId="31A9774B" w:rsidR="00274864" w:rsidRDefault="00F11EA9" w:rsidP="000768DC">
      <w:pPr>
        <w:pStyle w:val="ParaLevel1"/>
        <w:rPr>
          <w:lang w:eastAsia="en-GB"/>
        </w:rPr>
      </w:pPr>
      <w:r>
        <w:rPr>
          <w:lang w:eastAsia="en-GB"/>
        </w:rPr>
        <w:t>T</w:t>
      </w:r>
      <w:r w:rsidR="00630F7D">
        <w:rPr>
          <w:lang w:eastAsia="en-GB"/>
        </w:rPr>
        <w:t>he Claimants</w:t>
      </w:r>
      <w:r>
        <w:rPr>
          <w:lang w:eastAsia="en-GB"/>
        </w:rPr>
        <w:t xml:space="preserve"> contend</w:t>
      </w:r>
      <w:r w:rsidR="00630F7D">
        <w:rPr>
          <w:lang w:eastAsia="en-GB"/>
        </w:rPr>
        <w:t xml:space="preserve"> that </w:t>
      </w:r>
      <w:r w:rsidR="003F2ED4">
        <w:rPr>
          <w:lang w:eastAsia="en-GB"/>
        </w:rPr>
        <w:t xml:space="preserve">they are not required to demonstrate that </w:t>
      </w:r>
      <w:r w:rsidR="0003445F">
        <w:rPr>
          <w:lang w:eastAsia="en-GB"/>
        </w:rPr>
        <w:t>the subject matter of their complaint goes to “</w:t>
      </w:r>
      <w:r w:rsidR="0003445F" w:rsidRPr="0073334F">
        <w:rPr>
          <w:i/>
          <w:iCs/>
          <w:lang w:eastAsia="en-GB"/>
        </w:rPr>
        <w:t xml:space="preserve">the core of a </w:t>
      </w:r>
      <w:r w:rsidR="00DC497A" w:rsidRPr="0073334F">
        <w:rPr>
          <w:i/>
          <w:iCs/>
          <w:lang w:eastAsia="en-GB"/>
        </w:rPr>
        <w:t>right</w:t>
      </w:r>
      <w:r w:rsidR="00DC497A">
        <w:rPr>
          <w:lang w:eastAsia="en-GB"/>
        </w:rPr>
        <w:t xml:space="preserve">” under either </w:t>
      </w:r>
      <w:r w:rsidR="00FF467D">
        <w:rPr>
          <w:lang w:eastAsia="en-GB"/>
        </w:rPr>
        <w:t>a</w:t>
      </w:r>
      <w:r w:rsidR="00DC497A">
        <w:rPr>
          <w:lang w:eastAsia="en-GB"/>
        </w:rPr>
        <w:t>rticle 8 or 9</w:t>
      </w:r>
      <w:r w:rsidR="00D479A9">
        <w:rPr>
          <w:lang w:eastAsia="en-GB"/>
        </w:rPr>
        <w:t xml:space="preserve">: where the state provides a positive measure </w:t>
      </w:r>
      <w:r w:rsidR="002227E9">
        <w:rPr>
          <w:lang w:eastAsia="en-GB"/>
        </w:rPr>
        <w:t xml:space="preserve">falling within the scope of an ECHR right (here, the recognition of </w:t>
      </w:r>
      <w:r w:rsidR="00000397">
        <w:rPr>
          <w:lang w:eastAsia="en-GB"/>
        </w:rPr>
        <w:t>certain forms of marriage under section 26 of the 1949 Act), it must do so without discrimination</w:t>
      </w:r>
      <w:r w:rsidR="00534BA4">
        <w:rPr>
          <w:lang w:eastAsia="en-GB"/>
        </w:rPr>
        <w:t xml:space="preserve"> (see</w:t>
      </w:r>
      <w:r w:rsidR="00534BA4" w:rsidRPr="00534BA4">
        <w:t xml:space="preserve"> </w:t>
      </w:r>
      <w:r w:rsidR="007E27BF">
        <w:t xml:space="preserve">paragraphs 22-29, </w:t>
      </w:r>
      <w:proofErr w:type="spellStart"/>
      <w:r w:rsidR="00534BA4">
        <w:rPr>
          <w:i/>
          <w:iCs/>
        </w:rPr>
        <w:t>Petrovic</w:t>
      </w:r>
      <w:proofErr w:type="spellEnd"/>
      <w:r w:rsidR="00534BA4">
        <w:rPr>
          <w:i/>
          <w:iCs/>
        </w:rPr>
        <w:t xml:space="preserve"> v Austria </w:t>
      </w:r>
      <w:r w:rsidR="007E27BF" w:rsidRPr="007E27BF">
        <w:t>(</w:t>
      </w:r>
      <w:r w:rsidR="00AE1122">
        <w:t>2001</w:t>
      </w:r>
      <w:r w:rsidR="007E27BF" w:rsidRPr="007E27BF">
        <w:t xml:space="preserve">) 33 </w:t>
      </w:r>
      <w:proofErr w:type="spellStart"/>
      <w:r w:rsidR="007E27BF" w:rsidRPr="007E27BF">
        <w:t>EHRR</w:t>
      </w:r>
      <w:proofErr w:type="spellEnd"/>
      <w:r w:rsidR="007E27BF" w:rsidRPr="007E27BF">
        <w:t xml:space="preserve"> 14)</w:t>
      </w:r>
      <w:r w:rsidR="00125B07">
        <w:rPr>
          <w:lang w:eastAsia="en-GB"/>
        </w:rPr>
        <w:t>.</w:t>
      </w:r>
      <w:r w:rsidR="00EE1E41">
        <w:rPr>
          <w:lang w:eastAsia="en-GB"/>
        </w:rPr>
        <w:t xml:space="preserve"> </w:t>
      </w:r>
      <w:r w:rsidR="00125B07">
        <w:rPr>
          <w:lang w:eastAsia="en-GB"/>
        </w:rPr>
        <w:t xml:space="preserve"> A</w:t>
      </w:r>
      <w:r w:rsidR="00EE1E41">
        <w:rPr>
          <w:lang w:eastAsia="en-GB"/>
        </w:rPr>
        <w:t xml:space="preserve">s Sir Thomas </w:t>
      </w:r>
      <w:proofErr w:type="spellStart"/>
      <w:r w:rsidR="00EE1E41">
        <w:rPr>
          <w:lang w:eastAsia="en-GB"/>
        </w:rPr>
        <w:t>Etherton</w:t>
      </w:r>
      <w:proofErr w:type="spellEnd"/>
      <w:r w:rsidR="00EE1E41">
        <w:rPr>
          <w:lang w:eastAsia="en-GB"/>
        </w:rPr>
        <w:t xml:space="preserve"> MR explained in </w:t>
      </w:r>
      <w:r w:rsidR="00EE1E41" w:rsidRPr="006E3249">
        <w:rPr>
          <w:i/>
          <w:iCs/>
          <w:lang w:eastAsia="en-GB"/>
        </w:rPr>
        <w:t>Smith v Lancashire Teaching Hospitals NHS Foundation Trust</w:t>
      </w:r>
      <w:r w:rsidR="00EE1E41">
        <w:rPr>
          <w:lang w:eastAsia="en-GB"/>
        </w:rPr>
        <w:t xml:space="preserve"> </w:t>
      </w:r>
      <w:r w:rsidR="004531F5">
        <w:rPr>
          <w:lang w:eastAsia="en-GB"/>
        </w:rPr>
        <w:t xml:space="preserve">[2018] 2 WLR </w:t>
      </w:r>
      <w:r w:rsidR="000577E5">
        <w:rPr>
          <w:lang w:eastAsia="en-GB"/>
        </w:rPr>
        <w:t xml:space="preserve">1063, CA, </w:t>
      </w:r>
      <w:r w:rsidR="004531F5">
        <w:rPr>
          <w:lang w:eastAsia="en-GB"/>
        </w:rPr>
        <w:t>at paragraph 42</w:t>
      </w:r>
      <w:r w:rsidR="00274864">
        <w:rPr>
          <w:lang w:eastAsia="en-GB"/>
        </w:rPr>
        <w:t>:</w:t>
      </w:r>
    </w:p>
    <w:p w14:paraId="5F55CD2F" w14:textId="74BB6A98" w:rsidR="007E27BF" w:rsidRDefault="00C800E6" w:rsidP="000768DC">
      <w:pPr>
        <w:pStyle w:val="Quote"/>
      </w:pPr>
      <w:r>
        <w:rPr>
          <w:b/>
          <w:bCs/>
        </w:rPr>
        <w:t>“</w:t>
      </w:r>
      <w:r w:rsidR="00274864">
        <w:t xml:space="preserve">It is also well established and common ground that, even where the state is under no obligation to provide a particular measure </w:t>
      </w:r>
      <w:proofErr w:type="gramStart"/>
      <w:r w:rsidR="00274864">
        <w:t>in order to</w:t>
      </w:r>
      <w:proofErr w:type="gramEnd"/>
      <w:r w:rsidR="00274864">
        <w:t xml:space="preserve"> comply with its obligations under article 8, if it does provide a particular measure which does fall within the ambit of article 8, it must provide the measure without discrimination in compliance with article 14. There are numerous Strasbourg authorities to that effect, in which the positive measure is described as a “modality” of the right conferred by the substantive provision of the Convention.</w:t>
      </w:r>
      <w:r w:rsidR="007E27BF">
        <w:t xml:space="preserve"> …”</w:t>
      </w:r>
    </w:p>
    <w:p w14:paraId="3C4405B0" w14:textId="4D438014" w:rsidR="00785C83" w:rsidRPr="00785C83" w:rsidRDefault="00FF6845" w:rsidP="000768DC">
      <w:pPr>
        <w:pStyle w:val="ParaLevel1"/>
      </w:pPr>
      <w:r>
        <w:t xml:space="preserve">In </w:t>
      </w:r>
      <w:r w:rsidRPr="00FF6845">
        <w:rPr>
          <w:i/>
          <w:iCs/>
        </w:rPr>
        <w:t>Smith</w:t>
      </w:r>
      <w:r>
        <w:t xml:space="preserve">, </w:t>
      </w:r>
      <w:r w:rsidR="00557E94">
        <w:t>h</w:t>
      </w:r>
      <w:r w:rsidR="00E65CE3">
        <w:t xml:space="preserve">aving </w:t>
      </w:r>
      <w:r w:rsidR="00E774CB">
        <w:t>reviewed</w:t>
      </w:r>
      <w:r w:rsidR="00800358">
        <w:t xml:space="preserve"> </w:t>
      </w:r>
      <w:r w:rsidR="00AF5D44">
        <w:t xml:space="preserve">the </w:t>
      </w:r>
      <w:r w:rsidR="0028348B">
        <w:t xml:space="preserve">domestic case-law on </w:t>
      </w:r>
      <w:r w:rsidR="0062383D">
        <w:t>ambit</w:t>
      </w:r>
      <w:r w:rsidR="00800358">
        <w:t xml:space="preserve">, the Master of </w:t>
      </w:r>
      <w:r w:rsidR="00805D57">
        <w:t>the Rolls summarised the approach to be adopted</w:t>
      </w:r>
      <w:r w:rsidR="00103B1A">
        <w:t>, at paragraph 55</w:t>
      </w:r>
      <w:r w:rsidR="0028348B">
        <w:t>:</w:t>
      </w:r>
    </w:p>
    <w:p w14:paraId="0926C080" w14:textId="521C6BD1" w:rsidR="005C5B62" w:rsidRPr="005C5B62" w:rsidRDefault="00805D57" w:rsidP="000768DC">
      <w:pPr>
        <w:pStyle w:val="Quote"/>
        <w:rPr>
          <w:lang w:eastAsia="en-GB"/>
        </w:rPr>
      </w:pPr>
      <w:r w:rsidRPr="00805D57">
        <w:rPr>
          <w:lang w:eastAsia="en-GB"/>
        </w:rPr>
        <w:t>“</w:t>
      </w:r>
      <w:r>
        <w:rPr>
          <w:lang w:eastAsia="en-GB"/>
        </w:rPr>
        <w:t>…</w:t>
      </w:r>
      <w:r w:rsidR="009D69EB" w:rsidRPr="009D69EB">
        <w:rPr>
          <w:lang w:eastAsia="en-GB"/>
        </w:rPr>
        <w:t xml:space="preserve"> where, as here, the claim is that there has been an infringement of article 14, in conjunction with article 8. The claim </w:t>
      </w:r>
      <w:proofErr w:type="gramStart"/>
      <w:r w:rsidR="009D69EB" w:rsidRPr="009D69EB">
        <w:rPr>
          <w:lang w:eastAsia="en-GB"/>
        </w:rPr>
        <w:t>is capable of falling</w:t>
      </w:r>
      <w:proofErr w:type="gramEnd"/>
      <w:r w:rsidR="009D69EB" w:rsidRPr="009D69EB">
        <w:rPr>
          <w:lang w:eastAsia="en-GB"/>
        </w:rPr>
        <w:t xml:space="preserve"> within article 14 even though there has been no infringement of article 8. If the state has brought into existence a positive measure which, even though</w:t>
      </w:r>
      <w:r w:rsidR="007A2A21">
        <w:rPr>
          <w:lang w:eastAsia="en-GB"/>
        </w:rPr>
        <w:t xml:space="preserve"> </w:t>
      </w:r>
      <w:r w:rsidR="005C5B62" w:rsidRPr="005C5B62">
        <w:rPr>
          <w:lang w:eastAsia="en-GB"/>
        </w:rPr>
        <w:t>not required by article 8, is a modality of the exercise of the rights guaranteed by article 8, the state will be in breach of article 14 if the measure has more than a tenuous connection with the core values protected by article 8 and is discriminatory and not justified. It is not necessary that the measure has any adverse impact on the complainant in a positive modality case other than the fact that the complainant is not entitled to the benefit of the positive measure in question.</w:t>
      </w:r>
      <w:r w:rsidR="004A491B">
        <w:rPr>
          <w:lang w:eastAsia="en-GB"/>
        </w:rPr>
        <w:t>”</w:t>
      </w:r>
    </w:p>
    <w:p w14:paraId="69F83216" w14:textId="3FB1199C" w:rsidR="009D50AF" w:rsidRDefault="00FA318F" w:rsidP="000768DC">
      <w:pPr>
        <w:pStyle w:val="ParaLevel1"/>
        <w:rPr>
          <w:lang w:eastAsia="en-GB"/>
        </w:rPr>
      </w:pPr>
      <w:r>
        <w:rPr>
          <w:lang w:eastAsia="en-GB"/>
        </w:rPr>
        <w:t xml:space="preserve">This passage was cited with apparent approval by Lord Kerr </w:t>
      </w:r>
      <w:r w:rsidR="00777065">
        <w:rPr>
          <w:lang w:eastAsia="en-GB"/>
        </w:rPr>
        <w:t xml:space="preserve">in </w:t>
      </w:r>
      <w:proofErr w:type="gramStart"/>
      <w:r w:rsidR="00C618EF">
        <w:rPr>
          <w:i/>
          <w:iCs/>
          <w:lang w:eastAsia="en-GB"/>
        </w:rPr>
        <w:t>In</w:t>
      </w:r>
      <w:proofErr w:type="gramEnd"/>
      <w:r w:rsidR="00C618EF">
        <w:rPr>
          <w:i/>
          <w:iCs/>
          <w:lang w:eastAsia="en-GB"/>
        </w:rPr>
        <w:t xml:space="preserve"> re McLaughlin </w:t>
      </w:r>
      <w:r w:rsidR="00C618EF">
        <w:rPr>
          <w:lang w:eastAsia="en-GB"/>
        </w:rPr>
        <w:t>[2018] 1 WLR 4250 SC (albeit</w:t>
      </w:r>
      <w:r w:rsidR="00434026">
        <w:rPr>
          <w:lang w:eastAsia="en-GB"/>
        </w:rPr>
        <w:t xml:space="preserve"> that Lord Kerr observed that “</w:t>
      </w:r>
      <w:r w:rsidR="00434026" w:rsidRPr="004024AE">
        <w:rPr>
          <w:i/>
          <w:iCs/>
          <w:lang w:eastAsia="en-GB"/>
        </w:rPr>
        <w:t>core values</w:t>
      </w:r>
      <w:r w:rsidR="00434026">
        <w:rPr>
          <w:lang w:eastAsia="en-GB"/>
        </w:rPr>
        <w:t>” – a concept derived from domestic law – might give rise to too restrictive a test).</w:t>
      </w:r>
      <w:r w:rsidR="00F17075">
        <w:rPr>
          <w:lang w:eastAsia="en-GB"/>
        </w:rPr>
        <w:t xml:space="preserve"> </w:t>
      </w:r>
    </w:p>
    <w:p w14:paraId="3803A888" w14:textId="18602EE2" w:rsidR="00E06835" w:rsidRPr="00E06835" w:rsidRDefault="00E06835" w:rsidP="000768DC">
      <w:pPr>
        <w:pStyle w:val="ParaLevel1"/>
        <w:numPr>
          <w:ilvl w:val="0"/>
          <w:numId w:val="0"/>
        </w:numPr>
        <w:rPr>
          <w:i/>
          <w:iCs/>
          <w:lang w:eastAsia="en-GB"/>
        </w:rPr>
      </w:pPr>
      <w:bookmarkStart w:id="16" w:name="ambit_discussion_conclusions"/>
      <w:r>
        <w:rPr>
          <w:i/>
          <w:iCs/>
          <w:lang w:eastAsia="en-GB"/>
        </w:rPr>
        <w:t>Ambit - Discussion and Conclusions</w:t>
      </w:r>
      <w:bookmarkEnd w:id="16"/>
      <w:r>
        <w:rPr>
          <w:i/>
          <w:iCs/>
          <w:lang w:eastAsia="en-GB"/>
        </w:rPr>
        <w:t xml:space="preserve"> </w:t>
      </w:r>
    </w:p>
    <w:p w14:paraId="6F663EE0" w14:textId="0EC8C1CA" w:rsidR="00482A60" w:rsidRDefault="002C4B3D" w:rsidP="000768DC">
      <w:pPr>
        <w:pStyle w:val="ParaLevel1"/>
        <w:rPr>
          <w:lang w:eastAsia="en-GB"/>
        </w:rPr>
      </w:pPr>
      <w:r>
        <w:rPr>
          <w:lang w:eastAsia="en-GB"/>
        </w:rPr>
        <w:t>The present proceedings concern a measure that the state has chosen to introduce</w:t>
      </w:r>
      <w:r w:rsidR="00380117">
        <w:rPr>
          <w:lang w:eastAsia="en-GB"/>
        </w:rPr>
        <w:t xml:space="preserve">.  </w:t>
      </w:r>
      <w:r w:rsidR="0078630D">
        <w:rPr>
          <w:lang w:eastAsia="en-GB"/>
        </w:rPr>
        <w:t xml:space="preserve">As is apparent from the evidence (see the </w:t>
      </w:r>
      <w:r w:rsidR="008C14CC">
        <w:rPr>
          <w:lang w:eastAsia="en-GB"/>
        </w:rPr>
        <w:t xml:space="preserve">Law Commission’s </w:t>
      </w:r>
      <w:r w:rsidR="0078630D">
        <w:rPr>
          <w:lang w:eastAsia="en-GB"/>
        </w:rPr>
        <w:t xml:space="preserve">Scoping Paper at paragraphs 3.28-3.29 </w:t>
      </w:r>
      <w:r w:rsidR="00971915">
        <w:rPr>
          <w:lang w:eastAsia="en-GB"/>
        </w:rPr>
        <w:t xml:space="preserve">and the discussion at paragraph 74 of Mr Copson’s first statement), </w:t>
      </w:r>
      <w:r w:rsidR="009633F7">
        <w:rPr>
          <w:lang w:eastAsia="en-GB"/>
        </w:rPr>
        <w:t xml:space="preserve">signatories to the ECHR </w:t>
      </w:r>
      <w:r w:rsidR="000C4DFA">
        <w:rPr>
          <w:lang w:eastAsia="en-GB"/>
        </w:rPr>
        <w:t xml:space="preserve">have adopted different approaches to </w:t>
      </w:r>
      <w:r w:rsidR="007432F9">
        <w:rPr>
          <w:lang w:eastAsia="en-GB"/>
        </w:rPr>
        <w:t>the legal recognition of marriage</w:t>
      </w:r>
      <w:r w:rsidR="00CF3414">
        <w:rPr>
          <w:lang w:eastAsia="en-GB"/>
        </w:rPr>
        <w:t xml:space="preserve">: some only recognise civil marriage ceremonies, some </w:t>
      </w:r>
      <w:r w:rsidR="000668CC">
        <w:rPr>
          <w:lang w:eastAsia="en-GB"/>
        </w:rPr>
        <w:t xml:space="preserve">allow for recognition </w:t>
      </w:r>
      <w:r w:rsidR="000668CC">
        <w:rPr>
          <w:lang w:eastAsia="en-GB"/>
        </w:rPr>
        <w:lastRenderedPageBreak/>
        <w:t>of civil, religious and humanist marriage</w:t>
      </w:r>
      <w:r w:rsidR="00450BD4">
        <w:rPr>
          <w:lang w:eastAsia="en-GB"/>
        </w:rPr>
        <w:t xml:space="preserve">, and some </w:t>
      </w:r>
      <w:r w:rsidR="00B46DE1">
        <w:rPr>
          <w:lang w:eastAsia="en-GB"/>
        </w:rPr>
        <w:t xml:space="preserve">just </w:t>
      </w:r>
      <w:r w:rsidR="00450BD4">
        <w:rPr>
          <w:lang w:eastAsia="en-GB"/>
        </w:rPr>
        <w:t xml:space="preserve">for civil and religious marriage. </w:t>
      </w:r>
      <w:r w:rsidR="00CF4404">
        <w:rPr>
          <w:lang w:eastAsia="en-GB"/>
        </w:rPr>
        <w:t xml:space="preserve"> If </w:t>
      </w:r>
      <w:r w:rsidR="00405E13">
        <w:rPr>
          <w:lang w:eastAsia="en-GB"/>
        </w:rPr>
        <w:t xml:space="preserve">the legal recognition of marriage is a </w:t>
      </w:r>
      <w:r w:rsidR="00AC1EC1">
        <w:rPr>
          <w:lang w:eastAsia="en-GB"/>
        </w:rPr>
        <w:t xml:space="preserve">modality of </w:t>
      </w:r>
      <w:r w:rsidR="00B31EED">
        <w:rPr>
          <w:lang w:eastAsia="en-GB"/>
        </w:rPr>
        <w:t xml:space="preserve">the exercise of rights guaranteed by </w:t>
      </w:r>
      <w:r w:rsidR="0082758B">
        <w:rPr>
          <w:lang w:eastAsia="en-GB"/>
        </w:rPr>
        <w:t>a</w:t>
      </w:r>
      <w:r w:rsidR="00B31EED">
        <w:rPr>
          <w:lang w:eastAsia="en-GB"/>
        </w:rPr>
        <w:t xml:space="preserve">rticle 8 or </w:t>
      </w:r>
      <w:r w:rsidR="0082758B">
        <w:rPr>
          <w:lang w:eastAsia="en-GB"/>
        </w:rPr>
        <w:t>a</w:t>
      </w:r>
      <w:r w:rsidR="00B31EED">
        <w:rPr>
          <w:lang w:eastAsia="en-GB"/>
        </w:rPr>
        <w:t>rticle 9</w:t>
      </w:r>
      <w:r w:rsidR="00B00C34">
        <w:rPr>
          <w:lang w:eastAsia="en-GB"/>
        </w:rPr>
        <w:t xml:space="preserve"> (and it </w:t>
      </w:r>
      <w:r w:rsidR="00EB1524">
        <w:rPr>
          <w:lang w:eastAsia="en-GB"/>
        </w:rPr>
        <w:t xml:space="preserve">is not suggested that any different approach should be taken where the underlying right is provided by </w:t>
      </w:r>
      <w:r w:rsidR="0082758B">
        <w:rPr>
          <w:lang w:eastAsia="en-GB"/>
        </w:rPr>
        <w:t>a</w:t>
      </w:r>
      <w:r w:rsidR="00EB1524">
        <w:rPr>
          <w:lang w:eastAsia="en-GB"/>
        </w:rPr>
        <w:t xml:space="preserve">rticle 9 rather than </w:t>
      </w:r>
      <w:r w:rsidR="0082758B">
        <w:rPr>
          <w:lang w:eastAsia="en-GB"/>
        </w:rPr>
        <w:t>a</w:t>
      </w:r>
      <w:r w:rsidR="00EB1524">
        <w:rPr>
          <w:lang w:eastAsia="en-GB"/>
        </w:rPr>
        <w:t>rticle 8</w:t>
      </w:r>
      <w:r w:rsidR="00C306E5">
        <w:rPr>
          <w:lang w:eastAsia="en-GB"/>
        </w:rPr>
        <w:t xml:space="preserve">), </w:t>
      </w:r>
      <w:r w:rsidR="0029170C">
        <w:rPr>
          <w:lang w:eastAsia="en-GB"/>
        </w:rPr>
        <w:t xml:space="preserve">I agree with the Claimants: </w:t>
      </w:r>
      <w:r w:rsidR="00E2178E">
        <w:rPr>
          <w:lang w:eastAsia="en-GB"/>
        </w:rPr>
        <w:t>the question is not whether that measure goes to the core of the right</w:t>
      </w:r>
      <w:r w:rsidR="008710A0">
        <w:rPr>
          <w:lang w:eastAsia="en-GB"/>
        </w:rPr>
        <w:t xml:space="preserve">, it will </w:t>
      </w:r>
      <w:r w:rsidR="00A40794">
        <w:rPr>
          <w:lang w:eastAsia="en-GB"/>
        </w:rPr>
        <w:t>fall</w:t>
      </w:r>
      <w:r w:rsidR="008710A0">
        <w:rPr>
          <w:lang w:eastAsia="en-GB"/>
        </w:rPr>
        <w:t xml:space="preserve"> within the ambit of </w:t>
      </w:r>
      <w:r w:rsidR="00A346DB">
        <w:rPr>
          <w:lang w:eastAsia="en-GB"/>
        </w:rPr>
        <w:t>that right</w:t>
      </w:r>
      <w:r w:rsidR="00482A60">
        <w:rPr>
          <w:lang w:eastAsia="en-GB"/>
        </w:rPr>
        <w:t xml:space="preserve"> if it has </w:t>
      </w:r>
      <w:r w:rsidR="00BD361F">
        <w:rPr>
          <w:lang w:eastAsia="en-GB"/>
        </w:rPr>
        <w:t xml:space="preserve">a </w:t>
      </w:r>
      <w:r w:rsidR="00C306E5" w:rsidRPr="005C5B62">
        <w:rPr>
          <w:lang w:eastAsia="en-GB"/>
        </w:rPr>
        <w:t xml:space="preserve">more than tenuous connection with the core values </w:t>
      </w:r>
      <w:r w:rsidR="00482A60">
        <w:rPr>
          <w:lang w:eastAsia="en-GB"/>
        </w:rPr>
        <w:t xml:space="preserve">it seeks to protect. </w:t>
      </w:r>
    </w:p>
    <w:p w14:paraId="232998DF" w14:textId="71F0DFBA" w:rsidR="00A0103A" w:rsidRDefault="004B2813" w:rsidP="000768DC">
      <w:pPr>
        <w:pStyle w:val="ParaLevel1"/>
        <w:rPr>
          <w:lang w:eastAsia="en-GB"/>
        </w:rPr>
      </w:pPr>
      <w:r>
        <w:rPr>
          <w:lang w:eastAsia="en-GB"/>
        </w:rPr>
        <w:t xml:space="preserve">The measure in issue in this case is the </w:t>
      </w:r>
      <w:r w:rsidR="002252F5">
        <w:rPr>
          <w:lang w:eastAsia="en-GB"/>
        </w:rPr>
        <w:t xml:space="preserve">legal recognition of religious marriages </w:t>
      </w:r>
      <w:r w:rsidR="00FD3FBE">
        <w:rPr>
          <w:lang w:eastAsia="en-GB"/>
        </w:rPr>
        <w:t xml:space="preserve">under </w:t>
      </w:r>
      <w:r w:rsidR="00C91661">
        <w:rPr>
          <w:lang w:eastAsia="en-GB"/>
        </w:rPr>
        <w:t>sub-</w:t>
      </w:r>
      <w:r w:rsidR="00FD3FBE">
        <w:rPr>
          <w:lang w:eastAsia="en-GB"/>
        </w:rPr>
        <w:t>section</w:t>
      </w:r>
      <w:r w:rsidR="00C91661">
        <w:rPr>
          <w:lang w:eastAsia="en-GB"/>
        </w:rPr>
        <w:t xml:space="preserve"> 26(1)(a), (c), (d) and (e) of the 1949 Act</w:t>
      </w:r>
      <w:r w:rsidR="001B0A09">
        <w:rPr>
          <w:lang w:eastAsia="en-GB"/>
        </w:rPr>
        <w:t>; it is</w:t>
      </w:r>
      <w:r w:rsidR="00A0103A">
        <w:rPr>
          <w:lang w:eastAsia="en-GB"/>
        </w:rPr>
        <w:t xml:space="preserve"> the </w:t>
      </w:r>
      <w:r w:rsidR="00406C78">
        <w:rPr>
          <w:lang w:eastAsia="en-GB"/>
        </w:rPr>
        <w:t>Claimants’ primary submission</w:t>
      </w:r>
      <w:r w:rsidR="00AC53E7">
        <w:rPr>
          <w:lang w:eastAsia="en-GB"/>
        </w:rPr>
        <w:t xml:space="preserve"> that</w:t>
      </w:r>
      <w:r w:rsidR="001E207B">
        <w:rPr>
          <w:lang w:eastAsia="en-GB"/>
        </w:rPr>
        <w:t>,</w:t>
      </w:r>
      <w:r w:rsidR="00E05429">
        <w:rPr>
          <w:lang w:eastAsia="en-GB"/>
        </w:rPr>
        <w:t xml:space="preserve"> to the extent </w:t>
      </w:r>
      <w:r w:rsidR="008D5041">
        <w:rPr>
          <w:lang w:eastAsia="en-GB"/>
        </w:rPr>
        <w:t xml:space="preserve">the state has failed </w:t>
      </w:r>
      <w:r w:rsidR="0075171B">
        <w:rPr>
          <w:lang w:eastAsia="en-GB"/>
        </w:rPr>
        <w:t>to extend such recognition to humanist marriages</w:t>
      </w:r>
      <w:r w:rsidR="001E207B">
        <w:rPr>
          <w:lang w:eastAsia="en-GB"/>
        </w:rPr>
        <w:t>, this</w:t>
      </w:r>
      <w:r w:rsidR="0075171B">
        <w:rPr>
          <w:lang w:eastAsia="en-GB"/>
        </w:rPr>
        <w:t xml:space="preserve"> </w:t>
      </w:r>
      <w:r w:rsidR="00406C78">
        <w:rPr>
          <w:lang w:eastAsia="en-GB"/>
        </w:rPr>
        <w:t xml:space="preserve">gives rise to </w:t>
      </w:r>
      <w:r w:rsidR="00DB3EE0">
        <w:rPr>
          <w:lang w:eastAsia="en-GB"/>
        </w:rPr>
        <w:t xml:space="preserve">a more than tenuous </w:t>
      </w:r>
      <w:r w:rsidR="00406C78">
        <w:rPr>
          <w:lang w:eastAsia="en-GB"/>
        </w:rPr>
        <w:t xml:space="preserve">connection </w:t>
      </w:r>
      <w:r w:rsidR="00DB3EE0">
        <w:rPr>
          <w:lang w:eastAsia="en-GB"/>
        </w:rPr>
        <w:t xml:space="preserve">with </w:t>
      </w:r>
      <w:r w:rsidR="00AC53E7">
        <w:rPr>
          <w:lang w:eastAsia="en-GB"/>
        </w:rPr>
        <w:t xml:space="preserve">rights guaranteed under </w:t>
      </w:r>
      <w:r w:rsidR="0082758B">
        <w:rPr>
          <w:lang w:eastAsia="en-GB"/>
        </w:rPr>
        <w:t>a</w:t>
      </w:r>
      <w:r w:rsidR="00660A64">
        <w:rPr>
          <w:lang w:eastAsia="en-GB"/>
        </w:rPr>
        <w:t>rticle 9</w:t>
      </w:r>
      <w:r w:rsidR="00DB3EE0">
        <w:rPr>
          <w:lang w:eastAsia="en-GB"/>
        </w:rPr>
        <w:t xml:space="preserve"> </w:t>
      </w:r>
      <w:r w:rsidR="00AC53E7">
        <w:rPr>
          <w:lang w:eastAsia="en-GB"/>
        </w:rPr>
        <w:t>ECHR</w:t>
      </w:r>
      <w:r w:rsidR="00DB3EE0">
        <w:rPr>
          <w:lang w:eastAsia="en-GB"/>
        </w:rPr>
        <w:t xml:space="preserve">. </w:t>
      </w:r>
      <w:r w:rsidR="0075171B">
        <w:rPr>
          <w:lang w:eastAsia="en-GB"/>
        </w:rPr>
        <w:t xml:space="preserve"> </w:t>
      </w:r>
      <w:r w:rsidR="00C21B37">
        <w:rPr>
          <w:lang w:eastAsia="en-GB"/>
        </w:rPr>
        <w:t xml:space="preserve"> </w:t>
      </w:r>
    </w:p>
    <w:p w14:paraId="3D3FFF7F" w14:textId="09E1EA0D" w:rsidR="006D0D22" w:rsidRDefault="00F91114" w:rsidP="000768DC">
      <w:pPr>
        <w:pStyle w:val="ParaLevel1"/>
        <w:rPr>
          <w:lang w:eastAsia="en-GB"/>
        </w:rPr>
      </w:pPr>
      <w:r>
        <w:rPr>
          <w:lang w:eastAsia="en-GB"/>
        </w:rPr>
        <w:t xml:space="preserve">I have summarised the </w:t>
      </w:r>
      <w:r w:rsidR="005E1E9F">
        <w:rPr>
          <w:lang w:eastAsia="en-GB"/>
        </w:rPr>
        <w:t>parties’ respective positions on the evidence relating to humanism and marriage, above</w:t>
      </w:r>
      <w:r w:rsidR="006F06EF">
        <w:rPr>
          <w:lang w:eastAsia="en-GB"/>
        </w:rPr>
        <w:t xml:space="preserve">.  </w:t>
      </w:r>
      <w:r w:rsidR="00231F98">
        <w:rPr>
          <w:lang w:eastAsia="en-GB"/>
        </w:rPr>
        <w:t xml:space="preserve">As the Defendant has observed, not </w:t>
      </w:r>
      <w:r w:rsidR="002E7035">
        <w:rPr>
          <w:lang w:eastAsia="en-GB"/>
        </w:rPr>
        <w:t xml:space="preserve">all humanists will consider it is necessary to manifest their beliefs through marriage and </w:t>
      </w:r>
      <w:r w:rsidR="001E7F7B">
        <w:rPr>
          <w:lang w:eastAsia="en-GB"/>
        </w:rPr>
        <w:t xml:space="preserve">not </w:t>
      </w:r>
      <w:r w:rsidR="00231F98">
        <w:rPr>
          <w:lang w:eastAsia="en-GB"/>
        </w:rPr>
        <w:t xml:space="preserve">all of those who marry by way of a </w:t>
      </w:r>
      <w:r w:rsidR="001E7F7B">
        <w:rPr>
          <w:lang w:eastAsia="en-GB"/>
        </w:rPr>
        <w:t xml:space="preserve">humanist </w:t>
      </w:r>
      <w:r w:rsidR="00231F98">
        <w:rPr>
          <w:lang w:eastAsia="en-GB"/>
        </w:rPr>
        <w:t xml:space="preserve">ceremony </w:t>
      </w:r>
      <w:r w:rsidR="001E7F7B">
        <w:rPr>
          <w:lang w:eastAsia="en-GB"/>
        </w:rPr>
        <w:t xml:space="preserve">will </w:t>
      </w:r>
      <w:r w:rsidR="00231F98">
        <w:rPr>
          <w:lang w:eastAsia="en-GB"/>
        </w:rPr>
        <w:t>be humanists</w:t>
      </w:r>
      <w:r w:rsidR="00EF4DA2">
        <w:rPr>
          <w:lang w:eastAsia="en-GB"/>
        </w:rPr>
        <w:t xml:space="preserve"> (a</w:t>
      </w:r>
      <w:r w:rsidR="00111B4C">
        <w:rPr>
          <w:lang w:eastAsia="en-GB"/>
        </w:rPr>
        <w:t>lthough, as the Claimants</w:t>
      </w:r>
      <w:r w:rsidR="00356146">
        <w:rPr>
          <w:lang w:eastAsia="en-GB"/>
        </w:rPr>
        <w:t xml:space="preserve"> have </w:t>
      </w:r>
      <w:r w:rsidR="00111B4C">
        <w:rPr>
          <w:lang w:eastAsia="en-GB"/>
        </w:rPr>
        <w:t>point</w:t>
      </w:r>
      <w:r w:rsidR="00356146">
        <w:rPr>
          <w:lang w:eastAsia="en-GB"/>
        </w:rPr>
        <w:t>ed</w:t>
      </w:r>
      <w:r w:rsidR="00111B4C">
        <w:rPr>
          <w:lang w:eastAsia="en-GB"/>
        </w:rPr>
        <w:t xml:space="preserve"> out, </w:t>
      </w:r>
      <w:r w:rsidR="00EF4DA2">
        <w:rPr>
          <w:lang w:eastAsia="en-GB"/>
        </w:rPr>
        <w:t xml:space="preserve">those are observations that could also be made </w:t>
      </w:r>
      <w:r w:rsidR="000835B8">
        <w:rPr>
          <w:lang w:eastAsia="en-GB"/>
        </w:rPr>
        <w:t>about many who hold religious beliefs or who undergo a religious marriage</w:t>
      </w:r>
      <w:r w:rsidR="004D3848">
        <w:rPr>
          <w:lang w:eastAsia="en-GB"/>
        </w:rPr>
        <w:t>)</w:t>
      </w:r>
      <w:r w:rsidR="000835B8">
        <w:rPr>
          <w:lang w:eastAsia="en-GB"/>
        </w:rPr>
        <w:t xml:space="preserve">.  </w:t>
      </w:r>
      <w:r w:rsidR="00D775CE">
        <w:rPr>
          <w:lang w:eastAsia="en-GB"/>
        </w:rPr>
        <w:t xml:space="preserve">The Claimants object that </w:t>
      </w:r>
      <w:r w:rsidR="00F5786E">
        <w:rPr>
          <w:lang w:eastAsia="en-GB"/>
        </w:rPr>
        <w:t xml:space="preserve">(save in exceptional circumstances) </w:t>
      </w:r>
      <w:r w:rsidR="00D775CE">
        <w:rPr>
          <w:lang w:eastAsia="en-GB"/>
        </w:rPr>
        <w:t>it is not for</w:t>
      </w:r>
      <w:r w:rsidR="00F5786E">
        <w:rPr>
          <w:lang w:eastAsia="en-GB"/>
        </w:rPr>
        <w:t xml:space="preserve"> the state to determine what principles and beliefs </w:t>
      </w:r>
      <w:r w:rsidR="00E45495">
        <w:rPr>
          <w:lang w:eastAsia="en-GB"/>
        </w:rPr>
        <w:t>are to be considered central to any religion or belief</w:t>
      </w:r>
      <w:r w:rsidR="00B11475">
        <w:rPr>
          <w:lang w:eastAsia="en-GB"/>
        </w:rPr>
        <w:t>, or to assess the legitimacy of such beliefs</w:t>
      </w:r>
      <w:r w:rsidR="006D019F">
        <w:rPr>
          <w:lang w:eastAsia="en-GB"/>
        </w:rPr>
        <w:t xml:space="preserve"> or the ways in which they are expressed</w:t>
      </w:r>
      <w:r w:rsidR="00E45495">
        <w:rPr>
          <w:lang w:eastAsia="en-GB"/>
        </w:rPr>
        <w:t xml:space="preserve"> </w:t>
      </w:r>
      <w:r w:rsidR="00854D40">
        <w:rPr>
          <w:lang w:eastAsia="en-GB"/>
        </w:rPr>
        <w:t>(</w:t>
      </w:r>
      <w:proofErr w:type="spellStart"/>
      <w:r w:rsidR="00854D40" w:rsidRPr="006D0D22">
        <w:rPr>
          <w:i/>
          <w:iCs/>
          <w:lang w:eastAsia="en-GB"/>
        </w:rPr>
        <w:t>Kovalkovs</w:t>
      </w:r>
      <w:proofErr w:type="spellEnd"/>
      <w:r w:rsidR="00854D40" w:rsidRPr="006D0D22">
        <w:rPr>
          <w:i/>
          <w:iCs/>
          <w:lang w:eastAsia="en-GB"/>
        </w:rPr>
        <w:t xml:space="preserve"> v Latvia</w:t>
      </w:r>
      <w:r w:rsidR="00854D40">
        <w:rPr>
          <w:lang w:eastAsia="en-GB"/>
        </w:rPr>
        <w:t xml:space="preserve"> [2012] ECHR 280</w:t>
      </w:r>
      <w:r w:rsidR="006D0D22">
        <w:rPr>
          <w:lang w:eastAsia="en-GB"/>
        </w:rPr>
        <w:t>,</w:t>
      </w:r>
      <w:r w:rsidR="00854D40">
        <w:rPr>
          <w:lang w:eastAsia="en-GB"/>
        </w:rPr>
        <w:t xml:space="preserve"> at paragraph 60; </w:t>
      </w:r>
      <w:proofErr w:type="spellStart"/>
      <w:r w:rsidR="00AA4E59" w:rsidRPr="006D0D22">
        <w:rPr>
          <w:i/>
          <w:iCs/>
          <w:lang w:eastAsia="en-GB"/>
        </w:rPr>
        <w:t>Eweida</w:t>
      </w:r>
      <w:proofErr w:type="spellEnd"/>
      <w:r w:rsidR="00AA4E59" w:rsidRPr="006D0D22">
        <w:rPr>
          <w:i/>
          <w:iCs/>
          <w:lang w:eastAsia="en-GB"/>
        </w:rPr>
        <w:t xml:space="preserve"> and </w:t>
      </w:r>
      <w:proofErr w:type="spellStart"/>
      <w:r w:rsidR="00AA4E59" w:rsidRPr="006D0D22">
        <w:rPr>
          <w:i/>
          <w:iCs/>
          <w:lang w:eastAsia="en-GB"/>
        </w:rPr>
        <w:t>ors</w:t>
      </w:r>
      <w:proofErr w:type="spellEnd"/>
      <w:r w:rsidR="00AA4E59" w:rsidRPr="006D0D22">
        <w:rPr>
          <w:i/>
          <w:iCs/>
          <w:lang w:eastAsia="en-GB"/>
        </w:rPr>
        <w:t xml:space="preserve"> v United Kingdom</w:t>
      </w:r>
      <w:r w:rsidR="00AA4E59">
        <w:rPr>
          <w:lang w:eastAsia="en-GB"/>
        </w:rPr>
        <w:t xml:space="preserve"> (2013) </w:t>
      </w:r>
      <w:r w:rsidR="00AE1122">
        <w:rPr>
          <w:lang w:eastAsia="en-GB"/>
        </w:rPr>
        <w:t xml:space="preserve">57 </w:t>
      </w:r>
      <w:proofErr w:type="spellStart"/>
      <w:r w:rsidR="00AE1122">
        <w:rPr>
          <w:lang w:eastAsia="en-GB"/>
        </w:rPr>
        <w:t>EHRR</w:t>
      </w:r>
      <w:proofErr w:type="spellEnd"/>
      <w:r w:rsidR="00AE1122">
        <w:rPr>
          <w:lang w:eastAsia="en-GB"/>
        </w:rPr>
        <w:t xml:space="preserve"> 8</w:t>
      </w:r>
      <w:r w:rsidR="006D0D22">
        <w:rPr>
          <w:lang w:eastAsia="en-GB"/>
        </w:rPr>
        <w:t>, at paragraph 81).</w:t>
      </w:r>
      <w:r w:rsidR="00D775CE">
        <w:rPr>
          <w:lang w:eastAsia="en-GB"/>
        </w:rPr>
        <w:t xml:space="preserve"> </w:t>
      </w:r>
      <w:r w:rsidR="00C91E42">
        <w:rPr>
          <w:lang w:eastAsia="en-GB"/>
        </w:rPr>
        <w:t xml:space="preserve"> </w:t>
      </w:r>
      <w:r w:rsidR="00021EBB">
        <w:rPr>
          <w:lang w:eastAsia="en-GB"/>
        </w:rPr>
        <w:t xml:space="preserve">For the Defendant, however, it is </w:t>
      </w:r>
      <w:r w:rsidR="0011438F">
        <w:rPr>
          <w:lang w:eastAsia="en-GB"/>
        </w:rPr>
        <w:t xml:space="preserve">submitted that these principles cannot serve to prevent </w:t>
      </w:r>
      <w:r w:rsidR="00831662">
        <w:rPr>
          <w:lang w:eastAsia="en-GB"/>
        </w:rPr>
        <w:t xml:space="preserve">the state from considering what the </w:t>
      </w:r>
      <w:proofErr w:type="gramStart"/>
      <w:r w:rsidR="00831662">
        <w:rPr>
          <w:lang w:eastAsia="en-GB"/>
        </w:rPr>
        <w:t>particular beliefs</w:t>
      </w:r>
      <w:proofErr w:type="gramEnd"/>
      <w:r w:rsidR="00831662">
        <w:rPr>
          <w:lang w:eastAsia="en-GB"/>
        </w:rPr>
        <w:t xml:space="preserve"> are</w:t>
      </w:r>
      <w:r w:rsidR="00333F28">
        <w:rPr>
          <w:lang w:eastAsia="en-GB"/>
        </w:rPr>
        <w:t>, particularly where necessary in order to assess whether there has been discrimination between different religious or belief groups</w:t>
      </w:r>
      <w:r w:rsidR="00A70D99">
        <w:rPr>
          <w:lang w:eastAsia="en-GB"/>
        </w:rPr>
        <w:t xml:space="preserve">.  Where, moreover, the </w:t>
      </w:r>
      <w:r w:rsidR="00A13A1D">
        <w:rPr>
          <w:lang w:eastAsia="en-GB"/>
        </w:rPr>
        <w:t>c</w:t>
      </w:r>
      <w:r w:rsidR="00A70D99">
        <w:rPr>
          <w:lang w:eastAsia="en-GB"/>
        </w:rPr>
        <w:t>ourt is required to rule on a reviewable question of public law</w:t>
      </w:r>
      <w:r w:rsidR="00A13A1D">
        <w:rPr>
          <w:lang w:eastAsia="en-GB"/>
        </w:rPr>
        <w:t>,</w:t>
      </w:r>
      <w:r w:rsidR="00BA4DB4">
        <w:rPr>
          <w:lang w:eastAsia="en-GB"/>
        </w:rPr>
        <w:t xml:space="preserve"> which involves it considering the content of religious beliefs, it is not only </w:t>
      </w:r>
      <w:r w:rsidR="00196D05">
        <w:rPr>
          <w:lang w:eastAsia="en-GB"/>
        </w:rPr>
        <w:t>not prohibited from doing so but is required to do so (</w:t>
      </w:r>
      <w:r w:rsidR="0009246F">
        <w:rPr>
          <w:lang w:eastAsia="en-GB"/>
        </w:rPr>
        <w:t xml:space="preserve">see the discussion at paragraphs 17-31 </w:t>
      </w:r>
      <w:proofErr w:type="spellStart"/>
      <w:r w:rsidR="0009246F" w:rsidRPr="00B07432">
        <w:rPr>
          <w:i/>
          <w:iCs/>
          <w:lang w:eastAsia="en-GB"/>
        </w:rPr>
        <w:t>BXB</w:t>
      </w:r>
      <w:proofErr w:type="spellEnd"/>
      <w:r w:rsidR="0009246F" w:rsidRPr="00B07432">
        <w:rPr>
          <w:i/>
          <w:iCs/>
          <w:lang w:eastAsia="en-GB"/>
        </w:rPr>
        <w:t xml:space="preserve"> v Watchtower Bible and Tract Society of Britain </w:t>
      </w:r>
      <w:r w:rsidR="00B07432">
        <w:rPr>
          <w:lang w:eastAsia="en-GB"/>
        </w:rPr>
        <w:t xml:space="preserve">[2020] 4 WLR 42). </w:t>
      </w:r>
      <w:r w:rsidR="00495541">
        <w:rPr>
          <w:lang w:eastAsia="en-GB"/>
        </w:rPr>
        <w:t xml:space="preserve"> </w:t>
      </w:r>
    </w:p>
    <w:p w14:paraId="117698F2" w14:textId="237F9602" w:rsidR="00F64253" w:rsidRDefault="006F30D4" w:rsidP="000768DC">
      <w:pPr>
        <w:pStyle w:val="ParaLevel1"/>
        <w:rPr>
          <w:lang w:eastAsia="en-GB"/>
        </w:rPr>
      </w:pPr>
      <w:r>
        <w:rPr>
          <w:lang w:eastAsia="en-GB"/>
        </w:rPr>
        <w:t xml:space="preserve">To the extent that it is </w:t>
      </w:r>
      <w:r w:rsidR="0052089A">
        <w:rPr>
          <w:lang w:eastAsia="en-GB"/>
        </w:rPr>
        <w:t xml:space="preserve">therefore </w:t>
      </w:r>
      <w:r>
        <w:rPr>
          <w:lang w:eastAsia="en-GB"/>
        </w:rPr>
        <w:t xml:space="preserve">necessary for me to </w:t>
      </w:r>
      <w:r w:rsidR="00B554B0">
        <w:rPr>
          <w:lang w:eastAsia="en-GB"/>
        </w:rPr>
        <w:t>consider the content of humanist beliefs relevant to marriage, I am satisfied that the evidence shows that</w:t>
      </w:r>
      <w:r w:rsidR="0063454F">
        <w:rPr>
          <w:lang w:eastAsia="en-GB"/>
        </w:rPr>
        <w:t>,</w:t>
      </w:r>
      <w:r w:rsidR="00B554B0">
        <w:rPr>
          <w:lang w:eastAsia="en-GB"/>
        </w:rPr>
        <w:t xml:space="preserve"> </w:t>
      </w:r>
      <w:r w:rsidR="00BE29A5">
        <w:rPr>
          <w:lang w:eastAsia="en-GB"/>
        </w:rPr>
        <w:t>for</w:t>
      </w:r>
      <w:r w:rsidR="004D3848">
        <w:rPr>
          <w:lang w:eastAsia="en-GB"/>
        </w:rPr>
        <w:t xml:space="preserve"> </w:t>
      </w:r>
      <w:r w:rsidR="006930CF">
        <w:rPr>
          <w:lang w:eastAsia="en-GB"/>
        </w:rPr>
        <w:t xml:space="preserve">many who hold </w:t>
      </w:r>
      <w:r w:rsidR="0063454F">
        <w:rPr>
          <w:lang w:eastAsia="en-GB"/>
        </w:rPr>
        <w:t>those</w:t>
      </w:r>
      <w:r w:rsidR="006930CF">
        <w:rPr>
          <w:lang w:eastAsia="en-GB"/>
        </w:rPr>
        <w:t xml:space="preserve"> beliefs, the </w:t>
      </w:r>
      <w:r w:rsidR="00554BB4" w:rsidRPr="000C196B">
        <w:rPr>
          <w:lang w:eastAsia="en-GB"/>
        </w:rPr>
        <w:t xml:space="preserve">ceremonies that mark significant life events, </w:t>
      </w:r>
      <w:r w:rsidR="00111AEE" w:rsidRPr="000C196B">
        <w:rPr>
          <w:lang w:eastAsia="en-GB"/>
        </w:rPr>
        <w:t xml:space="preserve">such as </w:t>
      </w:r>
      <w:r w:rsidR="00554BB4" w:rsidRPr="000C196B">
        <w:rPr>
          <w:lang w:eastAsia="en-GB"/>
        </w:rPr>
        <w:t>marriage, provide a close and direct link to the belief</w:t>
      </w:r>
      <w:r w:rsidR="002E7468">
        <w:rPr>
          <w:lang w:eastAsia="en-GB"/>
        </w:rPr>
        <w:t>s</w:t>
      </w:r>
      <w:r w:rsidR="00554BB4" w:rsidRPr="000C196B">
        <w:rPr>
          <w:lang w:eastAsia="en-GB"/>
        </w:rPr>
        <w:t xml:space="preserve"> of the participants such as to amount to a manifestation of th</w:t>
      </w:r>
      <w:r w:rsidR="000E24F0">
        <w:rPr>
          <w:lang w:eastAsia="en-GB"/>
        </w:rPr>
        <w:t>ose</w:t>
      </w:r>
      <w:r w:rsidR="00554BB4" w:rsidRPr="000C196B">
        <w:rPr>
          <w:lang w:eastAsia="en-GB"/>
        </w:rPr>
        <w:t xml:space="preserve"> belief</w:t>
      </w:r>
      <w:r w:rsidR="000E24F0">
        <w:rPr>
          <w:lang w:eastAsia="en-GB"/>
        </w:rPr>
        <w:t>s</w:t>
      </w:r>
      <w:r w:rsidR="00810AEC">
        <w:rPr>
          <w:lang w:eastAsia="en-GB"/>
        </w:rPr>
        <w:t xml:space="preserve">.  The evidence of witnesses such as Ms Birch, and of the Claimants themselves, makes </w:t>
      </w:r>
      <w:r w:rsidR="00F677D7">
        <w:rPr>
          <w:lang w:eastAsia="en-GB"/>
        </w:rPr>
        <w:t xml:space="preserve">clear that for many humanists </w:t>
      </w:r>
      <w:r w:rsidR="002E7468">
        <w:rPr>
          <w:lang w:eastAsia="en-GB"/>
        </w:rPr>
        <w:t>such ceremonies are</w:t>
      </w:r>
      <w:r w:rsidR="00F677D7">
        <w:rPr>
          <w:lang w:eastAsia="en-GB"/>
        </w:rPr>
        <w:t xml:space="preserve"> </w:t>
      </w:r>
      <w:r w:rsidR="00001C77">
        <w:rPr>
          <w:lang w:eastAsia="en-GB"/>
        </w:rPr>
        <w:t>not simply motivated or influenced by their belief</w:t>
      </w:r>
      <w:r w:rsidR="004136AE">
        <w:rPr>
          <w:lang w:eastAsia="en-GB"/>
        </w:rPr>
        <w:t>s</w:t>
      </w:r>
      <w:r w:rsidR="00001C77">
        <w:rPr>
          <w:lang w:eastAsia="en-GB"/>
        </w:rPr>
        <w:t xml:space="preserve">; </w:t>
      </w:r>
      <w:r w:rsidR="00451619">
        <w:rPr>
          <w:lang w:eastAsia="en-GB"/>
        </w:rPr>
        <w:t xml:space="preserve">rather, </w:t>
      </w:r>
      <w:r w:rsidR="008E0215">
        <w:rPr>
          <w:lang w:eastAsia="en-GB"/>
        </w:rPr>
        <w:t>there is</w:t>
      </w:r>
      <w:r w:rsidR="00D616E0">
        <w:rPr>
          <w:lang w:eastAsia="en-GB"/>
        </w:rPr>
        <w:t xml:space="preserve"> an intimate link with the humanist belief system</w:t>
      </w:r>
      <w:r w:rsidR="00265299">
        <w:rPr>
          <w:lang w:eastAsia="en-GB"/>
        </w:rPr>
        <w:t>;</w:t>
      </w:r>
      <w:r w:rsidR="00DF7EB3">
        <w:rPr>
          <w:lang w:eastAsia="en-GB"/>
        </w:rPr>
        <w:t xml:space="preserve"> </w:t>
      </w:r>
      <w:proofErr w:type="gramStart"/>
      <w:r w:rsidR="00DF7EB3">
        <w:rPr>
          <w:lang w:eastAsia="en-GB"/>
        </w:rPr>
        <w:t xml:space="preserve">in particular, </w:t>
      </w:r>
      <w:r w:rsidR="00D616E0">
        <w:rPr>
          <w:lang w:eastAsia="en-GB"/>
        </w:rPr>
        <w:t>in</w:t>
      </w:r>
      <w:proofErr w:type="gramEnd"/>
      <w:r w:rsidR="00D616E0">
        <w:rPr>
          <w:lang w:eastAsia="en-GB"/>
        </w:rPr>
        <w:t xml:space="preserve"> the </w:t>
      </w:r>
      <w:r w:rsidR="00CF21C5">
        <w:rPr>
          <w:lang w:eastAsia="en-GB"/>
        </w:rPr>
        <w:t xml:space="preserve">way in which couples prepare for their </w:t>
      </w:r>
      <w:r w:rsidR="000C196B">
        <w:rPr>
          <w:lang w:eastAsia="en-GB"/>
        </w:rPr>
        <w:t>wedding with their celebrant</w:t>
      </w:r>
      <w:r w:rsidR="00C76B51">
        <w:rPr>
          <w:lang w:eastAsia="en-GB"/>
        </w:rPr>
        <w:t xml:space="preserve">, </w:t>
      </w:r>
      <w:r w:rsidR="000C196B">
        <w:rPr>
          <w:lang w:eastAsia="en-GB"/>
        </w:rPr>
        <w:t xml:space="preserve">in the </w:t>
      </w:r>
      <w:r w:rsidR="00CF21C5">
        <w:rPr>
          <w:lang w:eastAsia="en-GB"/>
        </w:rPr>
        <w:t>statements made during the ceremony</w:t>
      </w:r>
      <w:r w:rsidR="00C76B51">
        <w:rPr>
          <w:lang w:eastAsia="en-GB"/>
        </w:rPr>
        <w:t xml:space="preserve"> and in the </w:t>
      </w:r>
      <w:r w:rsidR="00FA63F8">
        <w:rPr>
          <w:lang w:eastAsia="en-GB"/>
        </w:rPr>
        <w:t xml:space="preserve">emphasis on </w:t>
      </w:r>
      <w:r w:rsidR="00A45323">
        <w:rPr>
          <w:lang w:eastAsia="en-GB"/>
        </w:rPr>
        <w:t>individual freedom of choice.</w:t>
      </w:r>
      <w:r w:rsidR="00F45933">
        <w:rPr>
          <w:lang w:eastAsia="en-GB"/>
        </w:rPr>
        <w:t xml:space="preserve">  </w:t>
      </w:r>
    </w:p>
    <w:p w14:paraId="12D89F20" w14:textId="2E65ABF9" w:rsidR="00755004" w:rsidRDefault="00F64253" w:rsidP="000768DC">
      <w:pPr>
        <w:pStyle w:val="ParaLevel1"/>
        <w:rPr>
          <w:lang w:eastAsia="en-GB"/>
        </w:rPr>
      </w:pPr>
      <w:r>
        <w:rPr>
          <w:lang w:eastAsia="en-GB"/>
        </w:rPr>
        <w:t xml:space="preserve">In my </w:t>
      </w:r>
      <w:r w:rsidR="00F45933">
        <w:rPr>
          <w:lang w:eastAsia="en-GB"/>
        </w:rPr>
        <w:t xml:space="preserve">judgment, </w:t>
      </w:r>
      <w:r>
        <w:rPr>
          <w:lang w:eastAsia="en-GB"/>
        </w:rPr>
        <w:t xml:space="preserve">that evidence </w:t>
      </w:r>
      <w:r w:rsidR="00F45933">
        <w:rPr>
          <w:lang w:eastAsia="en-GB"/>
        </w:rPr>
        <w:t xml:space="preserve">would establish the necessary </w:t>
      </w:r>
      <w:r w:rsidR="00962E4B">
        <w:rPr>
          <w:lang w:eastAsia="en-GB"/>
        </w:rPr>
        <w:t xml:space="preserve">connection between humanist marriage and humanist beliefs to amount to </w:t>
      </w:r>
      <w:r w:rsidR="00F5339C">
        <w:rPr>
          <w:lang w:eastAsia="en-GB"/>
        </w:rPr>
        <w:t xml:space="preserve">the manifestation of those beliefs for </w:t>
      </w:r>
      <w:r w:rsidR="00A10E3F">
        <w:rPr>
          <w:lang w:eastAsia="en-GB"/>
        </w:rPr>
        <w:t>a</w:t>
      </w:r>
      <w:r w:rsidR="00F5339C">
        <w:rPr>
          <w:lang w:eastAsia="en-GB"/>
        </w:rPr>
        <w:t xml:space="preserve">rticle 9 purposes (see </w:t>
      </w:r>
      <w:proofErr w:type="spellStart"/>
      <w:r w:rsidR="00F5339C" w:rsidRPr="004A6537">
        <w:rPr>
          <w:i/>
          <w:iCs/>
          <w:lang w:eastAsia="en-GB"/>
        </w:rPr>
        <w:t>Eweida</w:t>
      </w:r>
      <w:proofErr w:type="spellEnd"/>
      <w:r w:rsidR="00F5339C" w:rsidRPr="004A6537">
        <w:rPr>
          <w:i/>
          <w:iCs/>
          <w:lang w:eastAsia="en-GB"/>
        </w:rPr>
        <w:t xml:space="preserve"> v UK</w:t>
      </w:r>
      <w:r w:rsidR="00F5339C">
        <w:rPr>
          <w:lang w:eastAsia="en-GB"/>
        </w:rPr>
        <w:t xml:space="preserve"> (2013) 57 </w:t>
      </w:r>
      <w:proofErr w:type="spellStart"/>
      <w:r w:rsidR="00F5339C">
        <w:rPr>
          <w:lang w:eastAsia="en-GB"/>
        </w:rPr>
        <w:t>EHRR</w:t>
      </w:r>
      <w:proofErr w:type="spellEnd"/>
      <w:r w:rsidR="00F5339C">
        <w:rPr>
          <w:lang w:eastAsia="en-GB"/>
        </w:rPr>
        <w:t xml:space="preserve"> 8 at paragraph 82)</w:t>
      </w:r>
      <w:r w:rsidR="004A6537">
        <w:rPr>
          <w:lang w:eastAsia="en-GB"/>
        </w:rPr>
        <w:t>.</w:t>
      </w:r>
      <w:r w:rsidR="0032504C">
        <w:rPr>
          <w:lang w:eastAsia="en-GB"/>
        </w:rPr>
        <w:t xml:space="preserve">  </w:t>
      </w:r>
      <w:r w:rsidR="00376B55">
        <w:rPr>
          <w:lang w:eastAsia="en-GB"/>
        </w:rPr>
        <w:t xml:space="preserve">The Claimants do not, however, </w:t>
      </w:r>
      <w:proofErr w:type="gramStart"/>
      <w:r w:rsidR="00376B55">
        <w:rPr>
          <w:lang w:eastAsia="en-GB"/>
        </w:rPr>
        <w:t>have to</w:t>
      </w:r>
      <w:proofErr w:type="gramEnd"/>
      <w:r w:rsidR="00376B55">
        <w:rPr>
          <w:lang w:eastAsia="en-GB"/>
        </w:rPr>
        <w:t xml:space="preserve"> go so far; they merely have to establish that </w:t>
      </w:r>
      <w:r w:rsidR="00D46D0B">
        <w:rPr>
          <w:lang w:eastAsia="en-GB"/>
        </w:rPr>
        <w:t xml:space="preserve">the conduct of a humanist marriage falls within the ambit of </w:t>
      </w:r>
      <w:r w:rsidR="00A10E3F">
        <w:rPr>
          <w:lang w:eastAsia="en-GB"/>
        </w:rPr>
        <w:t>a</w:t>
      </w:r>
      <w:r w:rsidR="00D46D0B">
        <w:rPr>
          <w:lang w:eastAsia="en-GB"/>
        </w:rPr>
        <w:t>rticle 9</w:t>
      </w:r>
      <w:r w:rsidR="00C15CB1">
        <w:rPr>
          <w:lang w:eastAsia="en-GB"/>
        </w:rPr>
        <w:t>;</w:t>
      </w:r>
      <w:r w:rsidR="00D46D0B">
        <w:rPr>
          <w:lang w:eastAsia="en-GB"/>
        </w:rPr>
        <w:t xml:space="preserve"> </w:t>
      </w:r>
      <w:r w:rsidR="00C15CB1">
        <w:rPr>
          <w:lang w:eastAsia="en-GB"/>
        </w:rPr>
        <w:t>it is clear to me that it does.</w:t>
      </w:r>
      <w:r w:rsidR="00B97CD2">
        <w:rPr>
          <w:lang w:eastAsia="en-GB"/>
        </w:rPr>
        <w:t xml:space="preserve">  In this respect I </w:t>
      </w:r>
      <w:r w:rsidR="00B33407">
        <w:rPr>
          <w:lang w:eastAsia="en-GB"/>
        </w:rPr>
        <w:t xml:space="preserve">entirely concur with the conclusion reached </w:t>
      </w:r>
      <w:bookmarkStart w:id="17" w:name="_Hlk46078268"/>
      <w:r w:rsidR="00B33407">
        <w:rPr>
          <w:lang w:eastAsia="en-GB"/>
        </w:rPr>
        <w:t xml:space="preserve">by the Court of Appeal of Northern Ireland in </w:t>
      </w:r>
      <w:r w:rsidR="003D0168">
        <w:rPr>
          <w:lang w:eastAsia="en-GB"/>
        </w:rPr>
        <w:t xml:space="preserve">the case of </w:t>
      </w:r>
      <w:r w:rsidR="0041739B">
        <w:rPr>
          <w:i/>
          <w:iCs/>
          <w:lang w:eastAsia="en-GB"/>
        </w:rPr>
        <w:t>Smyth</w:t>
      </w:r>
      <w:r w:rsidR="00C266E9" w:rsidRPr="00C60EA3">
        <w:rPr>
          <w:i/>
          <w:iCs/>
          <w:lang w:eastAsia="en-GB"/>
        </w:rPr>
        <w:t xml:space="preserve">, Laura, an Application for Judicial </w:t>
      </w:r>
      <w:r w:rsidR="00C266E9" w:rsidRPr="00C60EA3">
        <w:rPr>
          <w:i/>
          <w:iCs/>
          <w:lang w:eastAsia="en-GB"/>
        </w:rPr>
        <w:lastRenderedPageBreak/>
        <w:t xml:space="preserve">Review </w:t>
      </w:r>
      <w:r w:rsidR="00C60EA3">
        <w:rPr>
          <w:lang w:eastAsia="en-GB"/>
        </w:rPr>
        <w:t>[2018] NICA 25</w:t>
      </w:r>
      <w:r w:rsidR="003D0168">
        <w:rPr>
          <w:lang w:eastAsia="en-GB"/>
        </w:rPr>
        <w:t xml:space="preserve"> </w:t>
      </w:r>
      <w:bookmarkEnd w:id="17"/>
      <w:r w:rsidR="003D0168">
        <w:rPr>
          <w:lang w:eastAsia="en-GB"/>
        </w:rPr>
        <w:t>(also involving a challenge to a failure to extend legal recognition to humanist marriages), where it was held:</w:t>
      </w:r>
      <w:r w:rsidR="00FF467D">
        <w:rPr>
          <w:lang w:eastAsia="en-GB"/>
        </w:rPr>
        <w:t xml:space="preserve">  </w:t>
      </w:r>
    </w:p>
    <w:p w14:paraId="244FF7D8" w14:textId="612663A9" w:rsidR="003D0168" w:rsidRDefault="003D0168" w:rsidP="000768DC">
      <w:pPr>
        <w:pStyle w:val="Quote"/>
        <w:rPr>
          <w:lang w:eastAsia="en-GB"/>
        </w:rPr>
      </w:pPr>
      <w:r>
        <w:rPr>
          <w:lang w:eastAsia="en-GB"/>
        </w:rPr>
        <w:t xml:space="preserve">“[41] … the issue in this case is not whether there has been an interference with the freedom to manifest one’s view but rather whether the conduct of a humanist wedding ceremony by a humanist officiant has a sufficiently close and direct nexus </w:t>
      </w:r>
      <w:r w:rsidR="008D3835">
        <w:rPr>
          <w:lang w:eastAsia="en-GB"/>
        </w:rPr>
        <w:t xml:space="preserve">with humanist beliefs to be within the ambit of Article 9.  It is not concerned with whether the </w:t>
      </w:r>
      <w:proofErr w:type="spellStart"/>
      <w:r w:rsidR="008D3835">
        <w:rPr>
          <w:lang w:eastAsia="en-GB"/>
        </w:rPr>
        <w:t>BHA</w:t>
      </w:r>
      <w:proofErr w:type="spellEnd"/>
      <w:r w:rsidR="008D3835">
        <w:rPr>
          <w:lang w:eastAsia="en-GB"/>
        </w:rPr>
        <w:t xml:space="preserve"> [British Humanist Association] has espoused a </w:t>
      </w:r>
      <w:proofErr w:type="gramStart"/>
      <w:r w:rsidR="008D3835">
        <w:rPr>
          <w:lang w:eastAsia="en-GB"/>
        </w:rPr>
        <w:t>particular view</w:t>
      </w:r>
      <w:proofErr w:type="gramEnd"/>
      <w:r w:rsidR="008D3835">
        <w:rPr>
          <w:lang w:eastAsia="en-GB"/>
        </w:rPr>
        <w:t xml:space="preserve"> about the marriage ceremony as an expression of belief but rather whether the facts of this case demonstrate that the ceremony satisfies the necessary connection. </w:t>
      </w:r>
    </w:p>
    <w:p w14:paraId="61F00567" w14:textId="3BE04EE3" w:rsidR="001B493E" w:rsidRDefault="001B493E" w:rsidP="000768DC">
      <w:pPr>
        <w:pStyle w:val="Quote"/>
        <w:rPr>
          <w:lang w:eastAsia="en-GB"/>
        </w:rPr>
      </w:pPr>
      <w:r>
        <w:rPr>
          <w:lang w:eastAsia="en-GB"/>
        </w:rPr>
        <w:t>[42] We are inclined to agree with the learned trial judge that such a ceremonial act is a direct expression of the respondent’s humanist beliefs and satisfies the test for manifestation of belief but we are entirely satisfied that the conduct of a humanist wedding ceremony by a humanist wedding officiant for a person holding humanist views is within the ambit of that Article</w:t>
      </w:r>
      <w:r w:rsidR="0014168A">
        <w:rPr>
          <w:lang w:eastAsia="en-GB"/>
        </w:rPr>
        <w:t>.  …”</w:t>
      </w:r>
    </w:p>
    <w:p w14:paraId="2F65BBC2" w14:textId="70404119" w:rsidR="00B3001D" w:rsidRPr="000C619E" w:rsidRDefault="007530B4" w:rsidP="000768DC">
      <w:pPr>
        <w:pStyle w:val="ParaLevel1"/>
        <w:rPr>
          <w:szCs w:val="24"/>
          <w:lang w:eastAsia="en-GB"/>
        </w:rPr>
      </w:pPr>
      <w:r>
        <w:rPr>
          <w:lang w:eastAsia="en-GB"/>
        </w:rPr>
        <w:t>T</w:t>
      </w:r>
      <w:r w:rsidR="00354884">
        <w:rPr>
          <w:lang w:eastAsia="en-GB"/>
        </w:rPr>
        <w:t xml:space="preserve">he focus of the Claimants’ case has been on </w:t>
      </w:r>
      <w:r w:rsidR="00A10E3F">
        <w:rPr>
          <w:lang w:eastAsia="en-GB"/>
        </w:rPr>
        <w:t>a</w:t>
      </w:r>
      <w:r w:rsidR="00354884">
        <w:rPr>
          <w:lang w:eastAsia="en-GB"/>
        </w:rPr>
        <w:t>rticle 9</w:t>
      </w:r>
      <w:r w:rsidR="00B53549">
        <w:rPr>
          <w:lang w:eastAsia="en-GB"/>
        </w:rPr>
        <w:t xml:space="preserve"> ECHR</w:t>
      </w:r>
      <w:r w:rsidR="00A10E3F">
        <w:rPr>
          <w:lang w:eastAsia="en-GB"/>
        </w:rPr>
        <w:t>;</w:t>
      </w:r>
      <w:r w:rsidR="00DE40F9">
        <w:rPr>
          <w:lang w:eastAsia="en-GB"/>
        </w:rPr>
        <w:t xml:space="preserve"> </w:t>
      </w:r>
      <w:r w:rsidR="00A10E3F">
        <w:rPr>
          <w:lang w:eastAsia="en-GB"/>
        </w:rPr>
        <w:t>w</w:t>
      </w:r>
      <w:r w:rsidR="00DE40F9">
        <w:rPr>
          <w:lang w:eastAsia="en-GB"/>
        </w:rPr>
        <w:t xml:space="preserve">hilst reliance is also placed </w:t>
      </w:r>
      <w:r w:rsidR="00C6397C">
        <w:rPr>
          <w:lang w:eastAsia="en-GB"/>
        </w:rPr>
        <w:t xml:space="preserve">on </w:t>
      </w:r>
      <w:r w:rsidR="00A10E3F">
        <w:rPr>
          <w:lang w:eastAsia="en-GB"/>
        </w:rPr>
        <w:t>a</w:t>
      </w:r>
      <w:r w:rsidR="00C6397C">
        <w:rPr>
          <w:lang w:eastAsia="en-GB"/>
        </w:rPr>
        <w:t>rticle 8</w:t>
      </w:r>
      <w:r w:rsidR="00791B56">
        <w:rPr>
          <w:lang w:eastAsia="en-GB"/>
        </w:rPr>
        <w:t xml:space="preserve">, </w:t>
      </w:r>
      <w:r w:rsidR="00DE40F9">
        <w:rPr>
          <w:lang w:eastAsia="en-GB"/>
        </w:rPr>
        <w:t>the Claimants’</w:t>
      </w:r>
      <w:r w:rsidR="00CE07CD">
        <w:rPr>
          <w:lang w:eastAsia="en-GB"/>
        </w:rPr>
        <w:t xml:space="preserve"> submissions have </w:t>
      </w:r>
      <w:r w:rsidR="00F45FCC">
        <w:rPr>
          <w:lang w:eastAsia="en-GB"/>
        </w:rPr>
        <w:t xml:space="preserve">not addressed this </w:t>
      </w:r>
      <w:r w:rsidR="00DE40F9">
        <w:rPr>
          <w:lang w:eastAsia="en-GB"/>
        </w:rPr>
        <w:t xml:space="preserve">alternative case </w:t>
      </w:r>
      <w:r w:rsidR="00F45FCC">
        <w:rPr>
          <w:lang w:eastAsia="en-GB"/>
        </w:rPr>
        <w:t xml:space="preserve">in any depth.  </w:t>
      </w:r>
      <w:r w:rsidR="009A0AEF">
        <w:rPr>
          <w:lang w:eastAsia="en-GB"/>
        </w:rPr>
        <w:t xml:space="preserve">That, it seems to me, reflects </w:t>
      </w:r>
      <w:r w:rsidR="00CA30C9">
        <w:rPr>
          <w:lang w:eastAsia="en-GB"/>
        </w:rPr>
        <w:t>the rather weaker ground the Claimants are on in this respect.</w:t>
      </w:r>
      <w:r w:rsidR="00CF4595">
        <w:rPr>
          <w:lang w:eastAsia="en-GB"/>
        </w:rPr>
        <w:t xml:space="preserve">  </w:t>
      </w:r>
      <w:r w:rsidR="00130C4E">
        <w:rPr>
          <w:lang w:eastAsia="en-GB"/>
        </w:rPr>
        <w:t>T</w:t>
      </w:r>
      <w:r w:rsidR="00253650">
        <w:rPr>
          <w:lang w:eastAsia="en-GB"/>
        </w:rPr>
        <w:t xml:space="preserve">he </w:t>
      </w:r>
      <w:r w:rsidR="00D914F5">
        <w:rPr>
          <w:lang w:eastAsia="en-GB"/>
        </w:rPr>
        <w:t>measure in issue</w:t>
      </w:r>
      <w:r w:rsidR="00130C4E">
        <w:rPr>
          <w:lang w:eastAsia="en-GB"/>
        </w:rPr>
        <w:t xml:space="preserve"> in this case</w:t>
      </w:r>
      <w:r w:rsidR="00D914F5">
        <w:rPr>
          <w:lang w:eastAsia="en-GB"/>
        </w:rPr>
        <w:t xml:space="preserve"> gives legal recognition to </w:t>
      </w:r>
      <w:proofErr w:type="gramStart"/>
      <w:r w:rsidR="00D914F5">
        <w:rPr>
          <w:lang w:eastAsia="en-GB"/>
        </w:rPr>
        <w:t>particular marriage</w:t>
      </w:r>
      <w:proofErr w:type="gramEnd"/>
      <w:r w:rsidR="00D914F5">
        <w:rPr>
          <w:lang w:eastAsia="en-GB"/>
        </w:rPr>
        <w:t xml:space="preserve"> ceremonies but</w:t>
      </w:r>
      <w:r w:rsidR="00F21AC5">
        <w:rPr>
          <w:lang w:eastAsia="en-GB"/>
        </w:rPr>
        <w:t xml:space="preserve"> (in </w:t>
      </w:r>
      <w:r w:rsidR="003E183F">
        <w:rPr>
          <w:lang w:eastAsia="en-GB"/>
        </w:rPr>
        <w:t xml:space="preserve">contrast to the position in </w:t>
      </w:r>
      <w:r w:rsidR="003E183F" w:rsidRPr="008A24CF">
        <w:rPr>
          <w:i/>
          <w:iCs/>
          <w:lang w:eastAsia="en-GB"/>
        </w:rPr>
        <w:t>R (</w:t>
      </w:r>
      <w:proofErr w:type="spellStart"/>
      <w:r w:rsidR="0046179B">
        <w:rPr>
          <w:i/>
          <w:iCs/>
          <w:lang w:eastAsia="en-GB"/>
        </w:rPr>
        <w:t>oao</w:t>
      </w:r>
      <w:proofErr w:type="spellEnd"/>
      <w:r w:rsidR="0046179B">
        <w:rPr>
          <w:i/>
          <w:iCs/>
          <w:lang w:eastAsia="en-GB"/>
        </w:rPr>
        <w:t xml:space="preserve"> </w:t>
      </w:r>
      <w:r w:rsidR="003E183F" w:rsidRPr="008A24CF">
        <w:rPr>
          <w:i/>
          <w:iCs/>
          <w:lang w:eastAsia="en-GB"/>
        </w:rPr>
        <w:t xml:space="preserve">Steinfeld) v </w:t>
      </w:r>
      <w:r w:rsidR="00971360" w:rsidRPr="008A24CF">
        <w:rPr>
          <w:i/>
          <w:iCs/>
          <w:lang w:eastAsia="en-GB"/>
        </w:rPr>
        <w:t xml:space="preserve">Secretary of State for </w:t>
      </w:r>
      <w:r w:rsidR="003E183F" w:rsidRPr="008A24CF">
        <w:rPr>
          <w:i/>
          <w:iCs/>
          <w:lang w:eastAsia="en-GB"/>
        </w:rPr>
        <w:t>Education</w:t>
      </w:r>
      <w:r w:rsidR="007942AE">
        <w:rPr>
          <w:i/>
          <w:iCs/>
          <w:lang w:eastAsia="en-GB"/>
        </w:rPr>
        <w:t xml:space="preserve"> –</w:t>
      </w:r>
      <w:r w:rsidR="007B33C5">
        <w:rPr>
          <w:i/>
          <w:iCs/>
          <w:lang w:eastAsia="en-GB"/>
        </w:rPr>
        <w:t xml:space="preserve"> </w:t>
      </w:r>
      <w:r w:rsidR="007B33C5">
        <w:rPr>
          <w:lang w:eastAsia="en-GB"/>
        </w:rPr>
        <w:t>see as addressed in the Court of Appeal, at</w:t>
      </w:r>
      <w:r w:rsidR="003E183F">
        <w:rPr>
          <w:lang w:eastAsia="en-GB"/>
        </w:rPr>
        <w:t xml:space="preserve"> [2018] QB</w:t>
      </w:r>
      <w:r w:rsidR="008A24CF">
        <w:rPr>
          <w:lang w:eastAsia="en-GB"/>
        </w:rPr>
        <w:t xml:space="preserve"> 519</w:t>
      </w:r>
      <w:r w:rsidR="00290A89">
        <w:rPr>
          <w:lang w:eastAsia="en-GB"/>
        </w:rPr>
        <w:t xml:space="preserve"> paragraphs 62 and 147</w:t>
      </w:r>
      <w:r w:rsidR="008A24CF">
        <w:rPr>
          <w:lang w:eastAsia="en-GB"/>
        </w:rPr>
        <w:t>)</w:t>
      </w:r>
      <w:r w:rsidR="00D914F5">
        <w:rPr>
          <w:lang w:eastAsia="en-GB"/>
        </w:rPr>
        <w:t xml:space="preserve"> is otherwise unconcerned with </w:t>
      </w:r>
      <w:r w:rsidR="000B159F">
        <w:rPr>
          <w:lang w:eastAsia="en-GB"/>
        </w:rPr>
        <w:t xml:space="preserve">the status of </w:t>
      </w:r>
      <w:r w:rsidR="001631D3">
        <w:rPr>
          <w:lang w:eastAsia="en-GB"/>
        </w:rPr>
        <w:t>the Claimants’ relationships</w:t>
      </w:r>
      <w:r w:rsidR="00310366">
        <w:rPr>
          <w:lang w:eastAsia="en-GB"/>
        </w:rPr>
        <w:t xml:space="preserve">.  </w:t>
      </w:r>
      <w:r w:rsidR="00F048A4">
        <w:rPr>
          <w:lang w:eastAsia="en-GB"/>
        </w:rPr>
        <w:t>T</w:t>
      </w:r>
      <w:r w:rsidR="00CF4595">
        <w:rPr>
          <w:lang w:eastAsia="en-GB"/>
        </w:rPr>
        <w:t>he Claimants’ complaint</w:t>
      </w:r>
      <w:r w:rsidR="00F048A4">
        <w:rPr>
          <w:lang w:eastAsia="en-GB"/>
        </w:rPr>
        <w:t xml:space="preserve"> </w:t>
      </w:r>
      <w:r w:rsidR="00CF4595">
        <w:rPr>
          <w:lang w:eastAsia="en-GB"/>
        </w:rPr>
        <w:t xml:space="preserve">is not </w:t>
      </w:r>
      <w:r w:rsidR="00804FE6">
        <w:rPr>
          <w:lang w:eastAsia="en-GB"/>
        </w:rPr>
        <w:t xml:space="preserve">of a denial </w:t>
      </w:r>
      <w:r w:rsidR="000540F6">
        <w:rPr>
          <w:lang w:eastAsia="en-GB"/>
        </w:rPr>
        <w:t xml:space="preserve">of their </w:t>
      </w:r>
      <w:r w:rsidR="00CF4595">
        <w:rPr>
          <w:lang w:eastAsia="en-GB"/>
        </w:rPr>
        <w:t>right to a private and family life</w:t>
      </w:r>
      <w:r w:rsidR="009932FE">
        <w:rPr>
          <w:lang w:eastAsia="en-GB"/>
        </w:rPr>
        <w:t>:</w:t>
      </w:r>
      <w:r w:rsidR="00DE3573">
        <w:rPr>
          <w:lang w:eastAsia="en-GB"/>
        </w:rPr>
        <w:t xml:space="preserve"> </w:t>
      </w:r>
      <w:r w:rsidR="00CF4595">
        <w:rPr>
          <w:lang w:eastAsia="en-GB"/>
        </w:rPr>
        <w:t xml:space="preserve">they </w:t>
      </w:r>
      <w:r w:rsidR="00BB0F08">
        <w:rPr>
          <w:lang w:eastAsia="en-GB"/>
        </w:rPr>
        <w:t xml:space="preserve">acknowledge that they </w:t>
      </w:r>
      <w:r w:rsidR="00CF4595">
        <w:rPr>
          <w:lang w:eastAsia="en-GB"/>
        </w:rPr>
        <w:t xml:space="preserve">are able to </w:t>
      </w:r>
      <w:proofErr w:type="gramStart"/>
      <w:r w:rsidR="00CF4595">
        <w:rPr>
          <w:lang w:eastAsia="en-GB"/>
        </w:rPr>
        <w:t>enter into</w:t>
      </w:r>
      <w:proofErr w:type="gramEnd"/>
      <w:r w:rsidR="00CF4595">
        <w:rPr>
          <w:lang w:eastAsia="en-GB"/>
        </w:rPr>
        <w:t xml:space="preserve"> </w:t>
      </w:r>
      <w:r w:rsidR="00CF4595" w:rsidRPr="000C619E">
        <w:rPr>
          <w:szCs w:val="24"/>
          <w:lang w:eastAsia="en-GB"/>
        </w:rPr>
        <w:t>marriages that have legal recognition</w:t>
      </w:r>
      <w:r w:rsidR="009932FE">
        <w:rPr>
          <w:szCs w:val="24"/>
          <w:lang w:eastAsia="en-GB"/>
        </w:rPr>
        <w:t>,</w:t>
      </w:r>
      <w:r w:rsidR="00BB0F08" w:rsidRPr="000C619E">
        <w:rPr>
          <w:szCs w:val="24"/>
          <w:lang w:eastAsia="en-GB"/>
        </w:rPr>
        <w:t xml:space="preserve"> their complaint is that they cannot do so </w:t>
      </w:r>
      <w:r w:rsidR="00CF4595" w:rsidRPr="000C619E">
        <w:rPr>
          <w:szCs w:val="24"/>
          <w:lang w:eastAsia="en-GB"/>
        </w:rPr>
        <w:t>through the ceremony that manifests their humanist beliefs.</w:t>
      </w:r>
      <w:r w:rsidR="00E1402F" w:rsidRPr="000C619E">
        <w:rPr>
          <w:szCs w:val="24"/>
          <w:lang w:eastAsia="en-GB"/>
        </w:rPr>
        <w:t xml:space="preserve">  On th</w:t>
      </w:r>
      <w:r w:rsidR="009A2F8E" w:rsidRPr="000C619E">
        <w:rPr>
          <w:szCs w:val="24"/>
          <w:lang w:eastAsia="en-GB"/>
        </w:rPr>
        <w:t>is alternative</w:t>
      </w:r>
      <w:r w:rsidR="00E1402F" w:rsidRPr="000C619E">
        <w:rPr>
          <w:szCs w:val="24"/>
          <w:lang w:eastAsia="en-GB"/>
        </w:rPr>
        <w:t xml:space="preserve"> case</w:t>
      </w:r>
      <w:r w:rsidR="009A2F8E" w:rsidRPr="000C619E">
        <w:rPr>
          <w:szCs w:val="24"/>
          <w:lang w:eastAsia="en-GB"/>
        </w:rPr>
        <w:t xml:space="preserve">, </w:t>
      </w:r>
      <w:r w:rsidR="0024684A" w:rsidRPr="000C619E">
        <w:rPr>
          <w:szCs w:val="24"/>
          <w:lang w:eastAsia="en-GB"/>
        </w:rPr>
        <w:t>I</w:t>
      </w:r>
      <w:r w:rsidR="009A2F8E" w:rsidRPr="000C619E">
        <w:rPr>
          <w:szCs w:val="24"/>
          <w:lang w:eastAsia="en-GB"/>
        </w:rPr>
        <w:t xml:space="preserve"> therefore</w:t>
      </w:r>
      <w:r w:rsidR="0024684A" w:rsidRPr="000C619E">
        <w:rPr>
          <w:szCs w:val="24"/>
          <w:lang w:eastAsia="en-GB"/>
        </w:rPr>
        <w:t xml:space="preserve"> </w:t>
      </w:r>
      <w:r w:rsidR="00530FB0" w:rsidRPr="000C619E">
        <w:rPr>
          <w:szCs w:val="24"/>
          <w:lang w:eastAsia="en-GB"/>
        </w:rPr>
        <w:t>agree with the Defendant</w:t>
      </w:r>
      <w:r w:rsidR="00BB1308">
        <w:rPr>
          <w:szCs w:val="24"/>
          <w:lang w:eastAsia="en-GB"/>
        </w:rPr>
        <w:t>:</w:t>
      </w:r>
      <w:r w:rsidR="00530FB0" w:rsidRPr="000C619E">
        <w:rPr>
          <w:szCs w:val="24"/>
          <w:lang w:eastAsia="en-GB"/>
        </w:rPr>
        <w:t xml:space="preserve"> </w:t>
      </w:r>
      <w:proofErr w:type="gramStart"/>
      <w:r w:rsidR="0024684A" w:rsidRPr="000C619E">
        <w:rPr>
          <w:szCs w:val="24"/>
          <w:lang w:eastAsia="en-GB"/>
        </w:rPr>
        <w:t>the</w:t>
      </w:r>
      <w:proofErr w:type="gramEnd"/>
      <w:r w:rsidR="0024684A" w:rsidRPr="000C619E">
        <w:rPr>
          <w:szCs w:val="24"/>
          <w:lang w:eastAsia="en-GB"/>
        </w:rPr>
        <w:t xml:space="preserve"> Claimants have not demonstrated </w:t>
      </w:r>
      <w:r w:rsidR="00E53F38">
        <w:rPr>
          <w:szCs w:val="24"/>
          <w:lang w:eastAsia="en-GB"/>
        </w:rPr>
        <w:t>a</w:t>
      </w:r>
      <w:r w:rsidR="00663B0A" w:rsidRPr="000C619E">
        <w:rPr>
          <w:szCs w:val="24"/>
          <w:lang w:eastAsia="en-GB"/>
        </w:rPr>
        <w:t xml:space="preserve"> more than a tenuous connection with the core values protected by </w:t>
      </w:r>
      <w:r w:rsidR="009932FE">
        <w:rPr>
          <w:szCs w:val="24"/>
          <w:lang w:eastAsia="en-GB"/>
        </w:rPr>
        <w:t>a</w:t>
      </w:r>
      <w:r w:rsidR="00663B0A" w:rsidRPr="000C619E">
        <w:rPr>
          <w:szCs w:val="24"/>
          <w:lang w:eastAsia="en-GB"/>
        </w:rPr>
        <w:t>rticle 8 ECHR</w:t>
      </w:r>
      <w:r w:rsidR="00B3001D" w:rsidRPr="000C619E">
        <w:rPr>
          <w:szCs w:val="24"/>
          <w:lang w:eastAsia="en-GB"/>
        </w:rPr>
        <w:t>.</w:t>
      </w:r>
      <w:r w:rsidR="005317F3">
        <w:rPr>
          <w:szCs w:val="24"/>
          <w:lang w:eastAsia="en-GB"/>
        </w:rPr>
        <w:t xml:space="preserve">  </w:t>
      </w:r>
      <w:r w:rsidR="009A2F8E" w:rsidRPr="000C619E">
        <w:rPr>
          <w:szCs w:val="24"/>
          <w:lang w:eastAsia="en-GB"/>
        </w:rPr>
        <w:t xml:space="preserve">  </w:t>
      </w:r>
    </w:p>
    <w:p w14:paraId="2EAD3A57" w14:textId="77777777" w:rsidR="000841EE" w:rsidRDefault="000841EE" w:rsidP="000768DC">
      <w:pPr>
        <w:spacing w:after="300"/>
        <w:rPr>
          <w:b/>
          <w:bCs/>
          <w:i/>
          <w:iCs/>
          <w:color w:val="000000"/>
          <w:lang w:eastAsia="en-GB"/>
        </w:rPr>
      </w:pPr>
      <w:bookmarkStart w:id="18" w:name="dff_of_treatmnt_nd_analgs_postion"/>
      <w:r>
        <w:rPr>
          <w:b/>
          <w:bCs/>
          <w:i/>
          <w:iCs/>
          <w:color w:val="000000"/>
          <w:lang w:eastAsia="en-GB"/>
        </w:rPr>
        <w:t>Difference of treatment and analogous position</w:t>
      </w:r>
    </w:p>
    <w:p w14:paraId="2A3E2677" w14:textId="297ED4D1" w:rsidR="009932FE" w:rsidRPr="009932FE" w:rsidRDefault="009932FE" w:rsidP="000768DC">
      <w:pPr>
        <w:pStyle w:val="ParaLevel1"/>
        <w:numPr>
          <w:ilvl w:val="0"/>
          <w:numId w:val="0"/>
        </w:numPr>
        <w:ind w:left="720" w:hanging="720"/>
        <w:rPr>
          <w:i/>
          <w:iCs/>
          <w:szCs w:val="24"/>
        </w:rPr>
      </w:pPr>
      <w:bookmarkStart w:id="19" w:name="Parties_submissions"/>
      <w:bookmarkEnd w:id="18"/>
      <w:r w:rsidRPr="009932FE">
        <w:rPr>
          <w:i/>
          <w:iCs/>
          <w:szCs w:val="24"/>
        </w:rPr>
        <w:t>The Parties’ Submissions</w:t>
      </w:r>
      <w:bookmarkEnd w:id="19"/>
      <w:r w:rsidRPr="009932FE">
        <w:rPr>
          <w:i/>
          <w:iCs/>
          <w:szCs w:val="24"/>
        </w:rPr>
        <w:t xml:space="preserve"> </w:t>
      </w:r>
    </w:p>
    <w:p w14:paraId="36176F8E" w14:textId="03CBE78C" w:rsidR="00420771" w:rsidRDefault="00142FA7" w:rsidP="000768DC">
      <w:pPr>
        <w:pStyle w:val="ParaLevel1"/>
        <w:rPr>
          <w:szCs w:val="24"/>
        </w:rPr>
      </w:pPr>
      <w:r>
        <w:rPr>
          <w:szCs w:val="24"/>
        </w:rPr>
        <w:t xml:space="preserve">There is a </w:t>
      </w:r>
      <w:r w:rsidR="00683292">
        <w:rPr>
          <w:szCs w:val="24"/>
        </w:rPr>
        <w:t xml:space="preserve">significant dispute between the parties as to whether there is a difference in treatment </w:t>
      </w:r>
      <w:r w:rsidR="0043160B">
        <w:rPr>
          <w:szCs w:val="24"/>
        </w:rPr>
        <w:t>arising from the measure in issue in this case.</w:t>
      </w:r>
      <w:r w:rsidR="00DB476B">
        <w:rPr>
          <w:szCs w:val="24"/>
        </w:rPr>
        <w:t xml:space="preserve">  Even if there is such a difference, the Defendant contends it is because </w:t>
      </w:r>
      <w:r w:rsidR="00521655">
        <w:rPr>
          <w:szCs w:val="24"/>
        </w:rPr>
        <w:t xml:space="preserve">the Claimants are not comparing like with like: they are not in an analogous </w:t>
      </w:r>
      <w:r w:rsidR="0094403E">
        <w:rPr>
          <w:szCs w:val="24"/>
        </w:rPr>
        <w:t>position to the</w:t>
      </w:r>
      <w:r w:rsidR="00521655">
        <w:rPr>
          <w:szCs w:val="24"/>
        </w:rPr>
        <w:t>ir religious comparators</w:t>
      </w:r>
      <w:r w:rsidR="0094403E">
        <w:rPr>
          <w:szCs w:val="24"/>
        </w:rPr>
        <w:t>.</w:t>
      </w:r>
      <w:r w:rsidR="00521655">
        <w:rPr>
          <w:szCs w:val="24"/>
        </w:rPr>
        <w:t xml:space="preserve"> </w:t>
      </w:r>
      <w:r w:rsidR="005317F3">
        <w:rPr>
          <w:szCs w:val="24"/>
        </w:rPr>
        <w:t xml:space="preserve"> </w:t>
      </w:r>
    </w:p>
    <w:p w14:paraId="4D01C8BD" w14:textId="059ACC03" w:rsidR="00606FBB" w:rsidRDefault="000D1039" w:rsidP="000768DC">
      <w:pPr>
        <w:pStyle w:val="ParaLevel1"/>
        <w:rPr>
          <w:szCs w:val="24"/>
        </w:rPr>
      </w:pPr>
      <w:r w:rsidRPr="00F73768">
        <w:rPr>
          <w:szCs w:val="24"/>
        </w:rPr>
        <w:t>The Claimants</w:t>
      </w:r>
      <w:r w:rsidR="00404964">
        <w:rPr>
          <w:szCs w:val="24"/>
        </w:rPr>
        <w:t xml:space="preserve"> </w:t>
      </w:r>
      <w:r w:rsidR="005D35AC">
        <w:rPr>
          <w:szCs w:val="24"/>
        </w:rPr>
        <w:t xml:space="preserve">make their comparison </w:t>
      </w:r>
      <w:r w:rsidR="00683812" w:rsidRPr="00F73768">
        <w:rPr>
          <w:szCs w:val="24"/>
        </w:rPr>
        <w:t xml:space="preserve">with members of </w:t>
      </w:r>
      <w:r w:rsidR="00683812" w:rsidRPr="00F73768">
        <w:rPr>
          <w:i/>
          <w:iCs/>
          <w:szCs w:val="24"/>
        </w:rPr>
        <w:t xml:space="preserve">all </w:t>
      </w:r>
      <w:r w:rsidR="00683812" w:rsidRPr="00F73768">
        <w:rPr>
          <w:szCs w:val="24"/>
        </w:rPr>
        <w:t>religious groups</w:t>
      </w:r>
      <w:r w:rsidR="005D35AC">
        <w:rPr>
          <w:szCs w:val="24"/>
        </w:rPr>
        <w:t>; a</w:t>
      </w:r>
      <w:r w:rsidR="00A13572" w:rsidRPr="00F73768">
        <w:rPr>
          <w:szCs w:val="24"/>
        </w:rPr>
        <w:t>lthough</w:t>
      </w:r>
      <w:r w:rsidR="00BD4B8D" w:rsidRPr="00F73768">
        <w:rPr>
          <w:szCs w:val="24"/>
        </w:rPr>
        <w:t xml:space="preserve"> the </w:t>
      </w:r>
      <w:r w:rsidR="009968E5">
        <w:rPr>
          <w:szCs w:val="24"/>
        </w:rPr>
        <w:t>outcome</w:t>
      </w:r>
      <w:r w:rsidR="00BD4B8D" w:rsidRPr="00F73768">
        <w:rPr>
          <w:szCs w:val="24"/>
        </w:rPr>
        <w:t xml:space="preserve"> they seek is put in terms of </w:t>
      </w:r>
      <w:r w:rsidR="0025201D" w:rsidRPr="00F73768">
        <w:rPr>
          <w:szCs w:val="24"/>
        </w:rPr>
        <w:t xml:space="preserve">recognition of marriage </w:t>
      </w:r>
      <w:r w:rsidR="000D2096" w:rsidRPr="00F73768">
        <w:rPr>
          <w:szCs w:val="24"/>
        </w:rPr>
        <w:t>“</w:t>
      </w:r>
      <w:r w:rsidR="0025201D" w:rsidRPr="00F73768">
        <w:rPr>
          <w:i/>
          <w:iCs/>
          <w:szCs w:val="24"/>
        </w:rPr>
        <w:t>according to the usages of Humanists UK</w:t>
      </w:r>
      <w:r w:rsidR="000D2096" w:rsidRPr="00F73768">
        <w:rPr>
          <w:szCs w:val="24"/>
        </w:rPr>
        <w:t>”</w:t>
      </w:r>
      <w:r w:rsidR="0025201D" w:rsidRPr="00F73768">
        <w:rPr>
          <w:szCs w:val="24"/>
        </w:rPr>
        <w:t xml:space="preserve"> (</w:t>
      </w:r>
      <w:r w:rsidR="00043F39" w:rsidRPr="00F73768">
        <w:rPr>
          <w:szCs w:val="24"/>
        </w:rPr>
        <w:t>Claimants’ Skeleton Argument at paragraph 38)</w:t>
      </w:r>
      <w:r w:rsidR="00A13572" w:rsidRPr="00F73768">
        <w:rPr>
          <w:szCs w:val="24"/>
        </w:rPr>
        <w:t xml:space="preserve"> -</w:t>
      </w:r>
      <w:r w:rsidR="00043F39" w:rsidRPr="00F73768">
        <w:rPr>
          <w:szCs w:val="24"/>
        </w:rPr>
        <w:t xml:space="preserve"> which echoes the language used </w:t>
      </w:r>
      <w:r w:rsidR="001D698C" w:rsidRPr="00F73768">
        <w:rPr>
          <w:szCs w:val="24"/>
        </w:rPr>
        <w:t>in respect of Quakers and Jews (section 26(1</w:t>
      </w:r>
      <w:r w:rsidR="009F5F05" w:rsidRPr="00F73768">
        <w:rPr>
          <w:szCs w:val="24"/>
        </w:rPr>
        <w:t>)(c) and (d) of the 1949 Act) and is similar to the “</w:t>
      </w:r>
      <w:r w:rsidR="009F5F05" w:rsidRPr="00F73768">
        <w:rPr>
          <w:i/>
          <w:iCs/>
          <w:szCs w:val="24"/>
        </w:rPr>
        <w:t>rites of the Church of England</w:t>
      </w:r>
      <w:r w:rsidR="009F5F05" w:rsidRPr="00F73768">
        <w:rPr>
          <w:szCs w:val="24"/>
        </w:rPr>
        <w:t xml:space="preserve">” (section </w:t>
      </w:r>
      <w:r w:rsidR="000D2096" w:rsidRPr="00F73768">
        <w:rPr>
          <w:szCs w:val="24"/>
        </w:rPr>
        <w:t>26(1)(e))</w:t>
      </w:r>
      <w:r w:rsidR="00A13572" w:rsidRPr="00F73768">
        <w:rPr>
          <w:szCs w:val="24"/>
        </w:rPr>
        <w:t xml:space="preserve"> – the Claimants</w:t>
      </w:r>
      <w:r w:rsidR="009D2B4F" w:rsidRPr="00F73768">
        <w:rPr>
          <w:szCs w:val="24"/>
        </w:rPr>
        <w:t xml:space="preserve"> make a principled objection to the legal recognition afforded (albeit in different ways) to </w:t>
      </w:r>
      <w:r w:rsidR="00DA22B4" w:rsidRPr="008B6E1B">
        <w:rPr>
          <w:i/>
          <w:iCs/>
          <w:szCs w:val="24"/>
        </w:rPr>
        <w:t xml:space="preserve">all </w:t>
      </w:r>
      <w:r w:rsidR="00DA22B4">
        <w:rPr>
          <w:szCs w:val="24"/>
        </w:rPr>
        <w:t xml:space="preserve">forms of </w:t>
      </w:r>
      <w:r w:rsidR="00F73768" w:rsidRPr="00F73768">
        <w:rPr>
          <w:szCs w:val="24"/>
        </w:rPr>
        <w:t xml:space="preserve">religious marriage ceremonies </w:t>
      </w:r>
      <w:r w:rsidR="00322B0E">
        <w:rPr>
          <w:szCs w:val="24"/>
        </w:rPr>
        <w:t xml:space="preserve">as compared to </w:t>
      </w:r>
      <w:r w:rsidR="00EC5D60">
        <w:rPr>
          <w:szCs w:val="24"/>
        </w:rPr>
        <w:t xml:space="preserve">humanist </w:t>
      </w:r>
      <w:r w:rsidR="00EC5D60">
        <w:rPr>
          <w:szCs w:val="24"/>
        </w:rPr>
        <w:lastRenderedPageBreak/>
        <w:t xml:space="preserve">marriages.  </w:t>
      </w:r>
      <w:r w:rsidR="005B2B37">
        <w:rPr>
          <w:szCs w:val="24"/>
        </w:rPr>
        <w:t xml:space="preserve">The Claimants further object to the consequences that flow from </w:t>
      </w:r>
      <w:r w:rsidR="002829E0">
        <w:rPr>
          <w:szCs w:val="24"/>
        </w:rPr>
        <w:t>that general difference of treatment</w:t>
      </w:r>
      <w:r w:rsidR="00BF5F58">
        <w:rPr>
          <w:szCs w:val="24"/>
        </w:rPr>
        <w:t>, summarised as follows</w:t>
      </w:r>
      <w:r w:rsidR="000660BC">
        <w:rPr>
          <w:szCs w:val="24"/>
        </w:rPr>
        <w:t xml:space="preserve">.  </w:t>
      </w:r>
    </w:p>
    <w:p w14:paraId="2A630465" w14:textId="299C59DC" w:rsidR="00F22D5F" w:rsidRDefault="00F52118" w:rsidP="000768DC">
      <w:pPr>
        <w:pStyle w:val="ParaLevel1"/>
        <w:rPr>
          <w:szCs w:val="24"/>
        </w:rPr>
      </w:pPr>
      <w:r>
        <w:rPr>
          <w:szCs w:val="24"/>
        </w:rPr>
        <w:t>First, i</w:t>
      </w:r>
      <w:r w:rsidR="000660BC">
        <w:rPr>
          <w:szCs w:val="24"/>
        </w:rPr>
        <w:t>n contrast to Anglicans, Quakers and Jews</w:t>
      </w:r>
      <w:r w:rsidR="00D54751">
        <w:rPr>
          <w:szCs w:val="24"/>
        </w:rPr>
        <w:t>,</w:t>
      </w:r>
      <w:r w:rsidR="000660BC">
        <w:rPr>
          <w:szCs w:val="24"/>
        </w:rPr>
        <w:t xml:space="preserve"> or those who marry </w:t>
      </w:r>
      <w:r>
        <w:rPr>
          <w:szCs w:val="24"/>
        </w:rPr>
        <w:t>in a registered building (i.e. other religious marriages),</w:t>
      </w:r>
      <w:r w:rsidRPr="00F52118">
        <w:rPr>
          <w:szCs w:val="24"/>
        </w:rPr>
        <w:t xml:space="preserve"> humanists who (consistent with their beliefs) do not marry according to a religious ceremony, must have a civil marriage under the direction and control of state officials (the superintendent registrar and registrar), that being the effect of sections 45 and 46B of the 1949 Act</w:t>
      </w:r>
      <w:r w:rsidR="00E73F50">
        <w:rPr>
          <w:szCs w:val="24"/>
        </w:rPr>
        <w:t xml:space="preserve"> (in argument, this was referred to as</w:t>
      </w:r>
      <w:r w:rsidR="00F611C0">
        <w:rPr>
          <w:szCs w:val="24"/>
        </w:rPr>
        <w:t xml:space="preserve"> the</w:t>
      </w:r>
      <w:r w:rsidR="00E73F50">
        <w:rPr>
          <w:szCs w:val="24"/>
        </w:rPr>
        <w:t xml:space="preserve"> “</w:t>
      </w:r>
      <w:r w:rsidR="00E73F50" w:rsidRPr="00E73F50">
        <w:rPr>
          <w:i/>
          <w:iCs/>
          <w:szCs w:val="24"/>
        </w:rPr>
        <w:t>unwanted guests</w:t>
      </w:r>
      <w:r w:rsidR="00E73F50">
        <w:rPr>
          <w:szCs w:val="24"/>
        </w:rPr>
        <w:t>”</w:t>
      </w:r>
      <w:r w:rsidR="00F611C0">
        <w:rPr>
          <w:szCs w:val="24"/>
        </w:rPr>
        <w:t xml:space="preserve"> point</w:t>
      </w:r>
      <w:r w:rsidR="00E73F50">
        <w:rPr>
          <w:szCs w:val="24"/>
        </w:rPr>
        <w:t>)</w:t>
      </w:r>
      <w:r w:rsidR="00672790">
        <w:rPr>
          <w:szCs w:val="24"/>
        </w:rPr>
        <w:t xml:space="preserve">.  </w:t>
      </w:r>
      <w:r w:rsidR="00F22D5F">
        <w:rPr>
          <w:szCs w:val="24"/>
        </w:rPr>
        <w:t>For t</w:t>
      </w:r>
      <w:r w:rsidR="00672790">
        <w:rPr>
          <w:szCs w:val="24"/>
        </w:rPr>
        <w:t xml:space="preserve">hose </w:t>
      </w:r>
      <w:r w:rsidR="00980EDE">
        <w:rPr>
          <w:szCs w:val="24"/>
        </w:rPr>
        <w:t xml:space="preserve">getting married in a registered building, a registrar </w:t>
      </w:r>
      <w:r w:rsidR="00F22D5F">
        <w:rPr>
          <w:szCs w:val="24"/>
        </w:rPr>
        <w:t>is only required to be</w:t>
      </w:r>
      <w:r w:rsidR="00980EDE">
        <w:rPr>
          <w:szCs w:val="24"/>
        </w:rPr>
        <w:t xml:space="preserve"> present until duplicate marriage books have been supplied to an authorised person (normally a priest or other religious official)</w:t>
      </w:r>
      <w:r w:rsidR="00E34128">
        <w:rPr>
          <w:szCs w:val="24"/>
        </w:rPr>
        <w:t xml:space="preserve">, </w:t>
      </w:r>
      <w:r w:rsidR="00016D50">
        <w:rPr>
          <w:szCs w:val="24"/>
        </w:rPr>
        <w:t>see section 44</w:t>
      </w:r>
      <w:r w:rsidR="00FC6C06">
        <w:rPr>
          <w:szCs w:val="24"/>
        </w:rPr>
        <w:t xml:space="preserve"> </w:t>
      </w:r>
      <w:r w:rsidR="00016D50">
        <w:rPr>
          <w:szCs w:val="24"/>
        </w:rPr>
        <w:t>of the 1949 Act</w:t>
      </w:r>
      <w:r w:rsidR="00160934">
        <w:rPr>
          <w:szCs w:val="24"/>
        </w:rPr>
        <w:t>.</w:t>
      </w:r>
      <w:r w:rsidR="00F22D5F">
        <w:rPr>
          <w:szCs w:val="24"/>
        </w:rPr>
        <w:t xml:space="preserve">  There is no such requirement in respect of Anglicans, Quakers or Jews. </w:t>
      </w:r>
    </w:p>
    <w:p w14:paraId="01610161" w14:textId="4E8AC27F" w:rsidR="00040CF2" w:rsidRDefault="00160934" w:rsidP="000768DC">
      <w:pPr>
        <w:pStyle w:val="ParaLevel1"/>
        <w:rPr>
          <w:szCs w:val="24"/>
        </w:rPr>
      </w:pPr>
      <w:r>
        <w:rPr>
          <w:szCs w:val="24"/>
        </w:rPr>
        <w:t xml:space="preserve">Second, </w:t>
      </w:r>
      <w:r w:rsidR="00446442">
        <w:rPr>
          <w:szCs w:val="24"/>
        </w:rPr>
        <w:t xml:space="preserve">the </w:t>
      </w:r>
      <w:r w:rsidR="00F91D3F">
        <w:rPr>
          <w:szCs w:val="24"/>
        </w:rPr>
        <w:t>“</w:t>
      </w:r>
      <w:r w:rsidR="00446442">
        <w:rPr>
          <w:szCs w:val="24"/>
        </w:rPr>
        <w:t>unwanted guests</w:t>
      </w:r>
      <w:r w:rsidR="00F91D3F">
        <w:rPr>
          <w:szCs w:val="24"/>
        </w:rPr>
        <w:t>”</w:t>
      </w:r>
      <w:r w:rsidR="00446442">
        <w:rPr>
          <w:szCs w:val="24"/>
        </w:rPr>
        <w:t xml:space="preserve"> come at a price: </w:t>
      </w:r>
      <w:r w:rsidR="009F6682">
        <w:rPr>
          <w:szCs w:val="24"/>
        </w:rPr>
        <w:t xml:space="preserve">in contrast to </w:t>
      </w:r>
      <w:r w:rsidR="007A1D7C">
        <w:rPr>
          <w:szCs w:val="24"/>
        </w:rPr>
        <w:t xml:space="preserve">the solemnization of religious marriages, </w:t>
      </w:r>
      <w:r w:rsidR="005F32E7">
        <w:rPr>
          <w:szCs w:val="24"/>
        </w:rPr>
        <w:t xml:space="preserve">humanists who have a civil marriage ceremony </w:t>
      </w:r>
      <w:r w:rsidR="0050115E">
        <w:rPr>
          <w:szCs w:val="24"/>
        </w:rPr>
        <w:t xml:space="preserve">will have to pay </w:t>
      </w:r>
      <w:r w:rsidR="00A803CB">
        <w:rPr>
          <w:szCs w:val="24"/>
        </w:rPr>
        <w:t>the</w:t>
      </w:r>
      <w:r w:rsidR="0050115E">
        <w:rPr>
          <w:szCs w:val="24"/>
        </w:rPr>
        <w:t xml:space="preserve"> relevant </w:t>
      </w:r>
      <w:r w:rsidR="00A803CB">
        <w:rPr>
          <w:szCs w:val="24"/>
        </w:rPr>
        <w:t>fees for the attendance of th</w:t>
      </w:r>
      <w:r w:rsidR="00C50BD4">
        <w:rPr>
          <w:szCs w:val="24"/>
        </w:rPr>
        <w:t xml:space="preserve">e required state </w:t>
      </w:r>
      <w:r w:rsidR="00A803CB">
        <w:rPr>
          <w:szCs w:val="24"/>
        </w:rPr>
        <w:t>officials (</w:t>
      </w:r>
      <w:r w:rsidR="00B91731">
        <w:rPr>
          <w:szCs w:val="24"/>
        </w:rPr>
        <w:t xml:space="preserve">on Mr </w:t>
      </w:r>
      <w:proofErr w:type="spellStart"/>
      <w:r w:rsidR="00B91731">
        <w:rPr>
          <w:szCs w:val="24"/>
        </w:rPr>
        <w:t>Barcoe’s</w:t>
      </w:r>
      <w:proofErr w:type="spellEnd"/>
      <w:r w:rsidR="00B91731">
        <w:rPr>
          <w:szCs w:val="24"/>
        </w:rPr>
        <w:t xml:space="preserve"> evidence, this </w:t>
      </w:r>
      <w:r w:rsidR="006E109A">
        <w:rPr>
          <w:szCs w:val="24"/>
        </w:rPr>
        <w:t>is currently</w:t>
      </w:r>
      <w:r w:rsidR="00B91731">
        <w:rPr>
          <w:szCs w:val="24"/>
        </w:rPr>
        <w:t xml:space="preserve"> </w:t>
      </w:r>
      <w:r w:rsidR="00A803CB">
        <w:rPr>
          <w:szCs w:val="24"/>
        </w:rPr>
        <w:t>£46 for a registrar at a register office (there is no separate fee for the superintendent registrar)</w:t>
      </w:r>
      <w:r w:rsidR="00C50BD4">
        <w:rPr>
          <w:szCs w:val="24"/>
        </w:rPr>
        <w:t>,</w:t>
      </w:r>
      <w:r w:rsidR="00A803CB">
        <w:rPr>
          <w:szCs w:val="24"/>
        </w:rPr>
        <w:t xml:space="preserve"> or </w:t>
      </w:r>
      <w:r w:rsidR="00C50BD4">
        <w:rPr>
          <w:szCs w:val="24"/>
        </w:rPr>
        <w:t>the</w:t>
      </w:r>
      <w:r w:rsidR="00A803CB">
        <w:rPr>
          <w:szCs w:val="24"/>
        </w:rPr>
        <w:t xml:space="preserve"> fee set by the local authority for the attendance of the superintendent registrar and registrar at a civil wedding on approved premises)</w:t>
      </w:r>
      <w:r w:rsidR="00C50BD4">
        <w:rPr>
          <w:szCs w:val="24"/>
        </w:rPr>
        <w:t xml:space="preserve">.  </w:t>
      </w:r>
    </w:p>
    <w:p w14:paraId="2D8EC264" w14:textId="23060009" w:rsidR="005E5AE4" w:rsidRDefault="00BC4357" w:rsidP="000768DC">
      <w:pPr>
        <w:pStyle w:val="ParaLevel1"/>
      </w:pPr>
      <w:r w:rsidRPr="00673505">
        <w:rPr>
          <w:szCs w:val="24"/>
        </w:rPr>
        <w:t xml:space="preserve">Third, </w:t>
      </w:r>
      <w:r w:rsidR="00E46778" w:rsidRPr="00673505">
        <w:rPr>
          <w:szCs w:val="24"/>
        </w:rPr>
        <w:t>marriages according</w:t>
      </w:r>
      <w:r w:rsidR="00947CEB">
        <w:rPr>
          <w:szCs w:val="24"/>
        </w:rPr>
        <w:t xml:space="preserve"> to</w:t>
      </w:r>
      <w:r w:rsidR="00E46778" w:rsidRPr="00673505">
        <w:rPr>
          <w:szCs w:val="24"/>
        </w:rPr>
        <w:t xml:space="preserve"> the usages of Quakers and Jews are not subject to any requirement as to venue</w:t>
      </w:r>
      <w:r w:rsidR="006E109A">
        <w:rPr>
          <w:szCs w:val="24"/>
        </w:rPr>
        <w:t xml:space="preserve"> (albeit the evidence </w:t>
      </w:r>
      <w:r w:rsidR="00942ED9">
        <w:rPr>
          <w:szCs w:val="24"/>
        </w:rPr>
        <w:t xml:space="preserve">before me is that Quakers will marry </w:t>
      </w:r>
      <w:r w:rsidR="007D48EC">
        <w:rPr>
          <w:szCs w:val="24"/>
        </w:rPr>
        <w:t>in a Friends’ Meeting House)</w:t>
      </w:r>
      <w:r w:rsidR="001A01BA" w:rsidRPr="00673505">
        <w:rPr>
          <w:szCs w:val="24"/>
        </w:rPr>
        <w:t xml:space="preserve">; in contrast, </w:t>
      </w:r>
      <w:r w:rsidR="00673505" w:rsidRPr="00673505">
        <w:rPr>
          <w:szCs w:val="24"/>
        </w:rPr>
        <w:t xml:space="preserve">humanists who undergo a civil marriage ceremony </w:t>
      </w:r>
      <w:r w:rsidR="002C022C">
        <w:rPr>
          <w:szCs w:val="24"/>
        </w:rPr>
        <w:t>must</w:t>
      </w:r>
      <w:r w:rsidR="00673505" w:rsidRPr="00673505">
        <w:rPr>
          <w:szCs w:val="24"/>
        </w:rPr>
        <w:t xml:space="preserve"> use either </w:t>
      </w:r>
      <w:r w:rsidR="00673505">
        <w:t xml:space="preserve">a </w:t>
      </w:r>
      <w:r w:rsidR="001A01BA">
        <w:t>register office or approved premises</w:t>
      </w:r>
      <w:r w:rsidR="005E5AE4">
        <w:t xml:space="preserve"> (the latter </w:t>
      </w:r>
      <w:r w:rsidR="00D279C5">
        <w:t xml:space="preserve">specifically </w:t>
      </w:r>
      <w:r w:rsidR="005E5AE4">
        <w:t>requiring that</w:t>
      </w:r>
      <w:r w:rsidR="001A01BA">
        <w:t xml:space="preserve"> solemnization of the marriage take place under a physical structure (regulation 2(1) of the 2005 Regulations)</w:t>
      </w:r>
      <w:r w:rsidR="005E5AE4">
        <w:t>.</w:t>
      </w:r>
    </w:p>
    <w:p w14:paraId="040D6225" w14:textId="2F118B10" w:rsidR="001A01BA" w:rsidRDefault="005E5AE4" w:rsidP="000768DC">
      <w:pPr>
        <w:pStyle w:val="ParaLevel1"/>
      </w:pPr>
      <w:r>
        <w:t xml:space="preserve">Fourth, </w:t>
      </w:r>
      <w:r w:rsidR="00C865A1">
        <w:t xml:space="preserve">there is </w:t>
      </w:r>
      <w:r w:rsidR="00D05146">
        <w:t xml:space="preserve">greater freedom afforded in respect of religious </w:t>
      </w:r>
      <w:r w:rsidR="00163896">
        <w:t>marriage ceremonies, which may be conducted according to the rites of the Church of England</w:t>
      </w:r>
      <w:r w:rsidR="00483A2F">
        <w:t xml:space="preserve"> (section 26(1)(e))</w:t>
      </w:r>
      <w:r w:rsidR="00163896">
        <w:t>, or to the usages of Quakers or Jews</w:t>
      </w:r>
      <w:r w:rsidR="00483A2F">
        <w:t xml:space="preserve"> (section 26(1)(c) and (d))</w:t>
      </w:r>
      <w:r w:rsidR="00163896">
        <w:t xml:space="preserve">, or </w:t>
      </w:r>
      <w:r w:rsidR="00623507">
        <w:t xml:space="preserve">for other religious weddings: </w:t>
      </w:r>
      <w:r w:rsidR="00F06D4A">
        <w:t>“</w:t>
      </w:r>
      <w:r w:rsidR="00F06D4A" w:rsidRPr="00483A2F">
        <w:rPr>
          <w:i/>
          <w:iCs/>
        </w:rPr>
        <w:t>according to such form and ceremony as those persons [getting married]</w:t>
      </w:r>
      <w:r w:rsidR="00DC325A">
        <w:rPr>
          <w:i/>
          <w:iCs/>
        </w:rPr>
        <w:t xml:space="preserve"> may</w:t>
      </w:r>
      <w:r w:rsidR="00F06D4A" w:rsidRPr="00483A2F">
        <w:rPr>
          <w:i/>
          <w:iCs/>
        </w:rPr>
        <w:t xml:space="preserve"> see fit to adopt</w:t>
      </w:r>
      <w:r w:rsidR="00F06D4A">
        <w:t>”</w:t>
      </w:r>
      <w:r w:rsidR="00045971">
        <w:t>, subject to the consent of those presiding over the place of worship</w:t>
      </w:r>
      <w:r w:rsidR="00F06D4A">
        <w:t xml:space="preserve"> in </w:t>
      </w:r>
      <w:r w:rsidR="00623507">
        <w:t>question</w:t>
      </w:r>
      <w:r w:rsidR="00A871C6">
        <w:t xml:space="preserve"> (section 44)</w:t>
      </w:r>
      <w:r w:rsidR="00483A2F">
        <w:t xml:space="preserve">.  No such provision is made for </w:t>
      </w:r>
      <w:r w:rsidR="00F95179">
        <w:t>humanist</w:t>
      </w:r>
      <w:r w:rsidR="00483A2F">
        <w:t xml:space="preserve"> marriages. </w:t>
      </w:r>
    </w:p>
    <w:p w14:paraId="647946DA" w14:textId="784412FA" w:rsidR="00483A2F" w:rsidRPr="00F73768" w:rsidRDefault="00483A2F" w:rsidP="000768DC">
      <w:pPr>
        <w:pStyle w:val="ParaLevel1"/>
      </w:pPr>
      <w:r>
        <w:t xml:space="preserve">Fifth, </w:t>
      </w:r>
      <w:r w:rsidR="009136EB">
        <w:t xml:space="preserve">the registration of a religious marriage can be carried out by the person who (in effect) conducted or facilitated the marriage (section 53); for humanists who undergo a civil wedding, </w:t>
      </w:r>
      <w:r w:rsidR="00F07369">
        <w:t xml:space="preserve">the marriage must be registered by the registrar who witnesses the solemnization of that marriage. </w:t>
      </w:r>
    </w:p>
    <w:p w14:paraId="0C22D72C" w14:textId="77777777" w:rsidR="00F9336F" w:rsidRDefault="00BD7857" w:rsidP="000768DC">
      <w:pPr>
        <w:pStyle w:val="ParaLevel1"/>
        <w:rPr>
          <w:szCs w:val="24"/>
        </w:rPr>
      </w:pPr>
      <w:r>
        <w:rPr>
          <w:szCs w:val="24"/>
        </w:rPr>
        <w:t xml:space="preserve">The Defendant disputes that there is any, or any significant difference </w:t>
      </w:r>
      <w:r w:rsidR="00B26007">
        <w:rPr>
          <w:szCs w:val="24"/>
        </w:rPr>
        <w:t xml:space="preserve">in respect of the ECHR rights in play between the Claimants and </w:t>
      </w:r>
      <w:r w:rsidR="00C62427">
        <w:rPr>
          <w:szCs w:val="24"/>
        </w:rPr>
        <w:t xml:space="preserve">their chosen </w:t>
      </w:r>
      <w:r w:rsidR="00B26007">
        <w:rPr>
          <w:szCs w:val="24"/>
        </w:rPr>
        <w:t xml:space="preserve">comparators. </w:t>
      </w:r>
      <w:r w:rsidR="007476E6">
        <w:rPr>
          <w:szCs w:val="24"/>
        </w:rPr>
        <w:t xml:space="preserve"> </w:t>
      </w:r>
    </w:p>
    <w:p w14:paraId="3A404B5B" w14:textId="5B0A7635" w:rsidR="00C03FF0" w:rsidRDefault="00F9336F" w:rsidP="000768DC">
      <w:pPr>
        <w:pStyle w:val="ParaLevel1"/>
        <w:rPr>
          <w:szCs w:val="24"/>
        </w:rPr>
      </w:pPr>
      <w:r>
        <w:rPr>
          <w:szCs w:val="24"/>
        </w:rPr>
        <w:t>In respect of the</w:t>
      </w:r>
      <w:r w:rsidR="00362E8C">
        <w:rPr>
          <w:szCs w:val="24"/>
        </w:rPr>
        <w:t xml:space="preserve"> </w:t>
      </w:r>
      <w:r w:rsidR="0041210A">
        <w:rPr>
          <w:szCs w:val="24"/>
        </w:rPr>
        <w:t>“</w:t>
      </w:r>
      <w:r w:rsidR="00362E8C">
        <w:rPr>
          <w:szCs w:val="24"/>
        </w:rPr>
        <w:t>unwanted guests</w:t>
      </w:r>
      <w:r w:rsidR="0041210A">
        <w:rPr>
          <w:szCs w:val="24"/>
        </w:rPr>
        <w:t>”</w:t>
      </w:r>
      <w:r w:rsidR="00362E8C">
        <w:rPr>
          <w:szCs w:val="24"/>
        </w:rPr>
        <w:t xml:space="preserve"> point - the</w:t>
      </w:r>
      <w:r>
        <w:rPr>
          <w:szCs w:val="24"/>
        </w:rPr>
        <w:t xml:space="preserve"> objection that civil marriages must be under the direction and control of state officials</w:t>
      </w:r>
      <w:r w:rsidR="00362E8C">
        <w:rPr>
          <w:szCs w:val="24"/>
        </w:rPr>
        <w:t xml:space="preserve"> – the Defendant initially sought to suggest that </w:t>
      </w:r>
      <w:r w:rsidR="00A25EC7">
        <w:rPr>
          <w:szCs w:val="24"/>
        </w:rPr>
        <w:t>this might be overcome by the appointment (possibly on a temporary basis) of humanists (inc</w:t>
      </w:r>
      <w:r w:rsidR="0041210A">
        <w:rPr>
          <w:szCs w:val="24"/>
        </w:rPr>
        <w:t>luding Humanist</w:t>
      </w:r>
      <w:r w:rsidR="00947CEB">
        <w:rPr>
          <w:szCs w:val="24"/>
        </w:rPr>
        <w:t>s</w:t>
      </w:r>
      <w:r w:rsidR="0041210A">
        <w:rPr>
          <w:szCs w:val="24"/>
        </w:rPr>
        <w:t xml:space="preserve"> UK celebrants) as registrars</w:t>
      </w:r>
      <w:r w:rsidR="00092F4C">
        <w:rPr>
          <w:szCs w:val="24"/>
        </w:rPr>
        <w:t>.  Having reflected</w:t>
      </w:r>
      <w:r w:rsidR="00D76C2C">
        <w:rPr>
          <w:szCs w:val="24"/>
        </w:rPr>
        <w:t xml:space="preserve">, </w:t>
      </w:r>
      <w:proofErr w:type="gramStart"/>
      <w:r w:rsidR="00D76C2C">
        <w:rPr>
          <w:szCs w:val="24"/>
        </w:rPr>
        <w:t>during the course of</w:t>
      </w:r>
      <w:proofErr w:type="gramEnd"/>
      <w:r w:rsidR="00D76C2C">
        <w:rPr>
          <w:szCs w:val="24"/>
        </w:rPr>
        <w:t xml:space="preserve"> the hearing,</w:t>
      </w:r>
      <w:r w:rsidR="00092F4C">
        <w:rPr>
          <w:szCs w:val="24"/>
        </w:rPr>
        <w:t xml:space="preserve"> on the difficulties that would arise in this regard</w:t>
      </w:r>
      <w:r w:rsidR="00D76C2C">
        <w:rPr>
          <w:szCs w:val="24"/>
        </w:rPr>
        <w:t>, this point</w:t>
      </w:r>
      <w:r w:rsidR="00125E00">
        <w:rPr>
          <w:szCs w:val="24"/>
        </w:rPr>
        <w:t xml:space="preserve"> was not</w:t>
      </w:r>
      <w:r w:rsidR="00D76C2C">
        <w:rPr>
          <w:szCs w:val="24"/>
        </w:rPr>
        <w:t xml:space="preserve"> pursue</w:t>
      </w:r>
      <w:r w:rsidR="00125E00">
        <w:rPr>
          <w:szCs w:val="24"/>
        </w:rPr>
        <w:t>d</w:t>
      </w:r>
      <w:r w:rsidR="00D76C2C">
        <w:rPr>
          <w:szCs w:val="24"/>
        </w:rPr>
        <w:t xml:space="preserve">. </w:t>
      </w:r>
      <w:r w:rsidR="00411B4A">
        <w:rPr>
          <w:szCs w:val="24"/>
        </w:rPr>
        <w:t xml:space="preserve"> </w:t>
      </w:r>
      <w:r w:rsidR="00C11B68">
        <w:rPr>
          <w:szCs w:val="24"/>
        </w:rPr>
        <w:t>The Defendant</w:t>
      </w:r>
      <w:r w:rsidR="00411B4A">
        <w:rPr>
          <w:szCs w:val="24"/>
        </w:rPr>
        <w:t xml:space="preserve"> did</w:t>
      </w:r>
      <w:r w:rsidR="00D76C2C">
        <w:rPr>
          <w:szCs w:val="24"/>
        </w:rPr>
        <w:t xml:space="preserve">, however, </w:t>
      </w:r>
      <w:r w:rsidR="00C11B68">
        <w:rPr>
          <w:szCs w:val="24"/>
        </w:rPr>
        <w:t>assert</w:t>
      </w:r>
      <w:r w:rsidR="009D336B">
        <w:rPr>
          <w:szCs w:val="24"/>
        </w:rPr>
        <w:t xml:space="preserve"> that </w:t>
      </w:r>
      <w:r w:rsidR="00BF7B8A">
        <w:rPr>
          <w:szCs w:val="24"/>
        </w:rPr>
        <w:t xml:space="preserve">a civil </w:t>
      </w:r>
      <w:r w:rsidR="003D2CCF">
        <w:rPr>
          <w:szCs w:val="24"/>
        </w:rPr>
        <w:t>wedding</w:t>
      </w:r>
      <w:r w:rsidR="00BF7B8A">
        <w:rPr>
          <w:szCs w:val="24"/>
        </w:rPr>
        <w:t xml:space="preserve"> could incorporate </w:t>
      </w:r>
      <w:r w:rsidR="003D2CCF">
        <w:rPr>
          <w:szCs w:val="24"/>
        </w:rPr>
        <w:t xml:space="preserve">the “usages” of </w:t>
      </w:r>
      <w:r w:rsidR="00667188">
        <w:rPr>
          <w:szCs w:val="24"/>
        </w:rPr>
        <w:t>a Humanist</w:t>
      </w:r>
      <w:r w:rsidR="00947CEB">
        <w:rPr>
          <w:szCs w:val="24"/>
        </w:rPr>
        <w:t>s</w:t>
      </w:r>
      <w:r w:rsidR="00667188">
        <w:rPr>
          <w:szCs w:val="24"/>
        </w:rPr>
        <w:t xml:space="preserve"> UK ceremony</w:t>
      </w:r>
      <w:r w:rsidR="00CD597C">
        <w:rPr>
          <w:szCs w:val="24"/>
        </w:rPr>
        <w:t xml:space="preserve">, </w:t>
      </w:r>
      <w:r w:rsidR="003D2CCF">
        <w:rPr>
          <w:szCs w:val="24"/>
        </w:rPr>
        <w:t>conducted by a Humanist</w:t>
      </w:r>
      <w:r w:rsidR="00947CEB">
        <w:rPr>
          <w:szCs w:val="24"/>
        </w:rPr>
        <w:t>s</w:t>
      </w:r>
      <w:r w:rsidR="003D2CCF">
        <w:rPr>
          <w:szCs w:val="24"/>
        </w:rPr>
        <w:t xml:space="preserve"> UK </w:t>
      </w:r>
      <w:r w:rsidR="003D2CCF">
        <w:rPr>
          <w:szCs w:val="24"/>
        </w:rPr>
        <w:lastRenderedPageBreak/>
        <w:t>celebrant</w:t>
      </w:r>
      <w:r w:rsidR="003B52B1">
        <w:rPr>
          <w:szCs w:val="24"/>
        </w:rPr>
        <w:t>,</w:t>
      </w:r>
      <w:r w:rsidR="00AE089F">
        <w:rPr>
          <w:szCs w:val="24"/>
        </w:rPr>
        <w:t xml:space="preserve"> provided </w:t>
      </w:r>
      <w:r w:rsidR="00A45F55">
        <w:rPr>
          <w:szCs w:val="24"/>
        </w:rPr>
        <w:t>the superintendent registrar and registrar were present (</w:t>
      </w:r>
      <w:r w:rsidR="00F06DCF">
        <w:rPr>
          <w:szCs w:val="24"/>
        </w:rPr>
        <w:t>the</w:t>
      </w:r>
      <w:r w:rsidR="0097169F">
        <w:rPr>
          <w:szCs w:val="24"/>
        </w:rPr>
        <w:t>se</w:t>
      </w:r>
      <w:r w:rsidR="00F06DCF">
        <w:rPr>
          <w:szCs w:val="24"/>
        </w:rPr>
        <w:t xml:space="preserve"> “unwanted guests” did not have to carry out the ceremony).</w:t>
      </w:r>
      <w:r w:rsidR="00E26985">
        <w:rPr>
          <w:szCs w:val="24"/>
        </w:rPr>
        <w:t xml:space="preserve">  </w:t>
      </w:r>
    </w:p>
    <w:p w14:paraId="41F06EDC" w14:textId="4E55F875" w:rsidR="00C361AD" w:rsidRDefault="00E26985" w:rsidP="000768DC">
      <w:pPr>
        <w:pStyle w:val="ParaLevel1"/>
        <w:rPr>
          <w:szCs w:val="24"/>
        </w:rPr>
      </w:pPr>
      <w:r>
        <w:rPr>
          <w:szCs w:val="24"/>
        </w:rPr>
        <w:t>The</w:t>
      </w:r>
      <w:r w:rsidR="00DC325A">
        <w:rPr>
          <w:szCs w:val="24"/>
        </w:rPr>
        <w:t>r</w:t>
      </w:r>
      <w:r w:rsidR="0028171F">
        <w:rPr>
          <w:szCs w:val="24"/>
        </w:rPr>
        <w:t>e</w:t>
      </w:r>
      <w:r>
        <w:rPr>
          <w:szCs w:val="24"/>
        </w:rPr>
        <w:t xml:space="preserve"> was some dispute as to whether this was </w:t>
      </w:r>
      <w:r w:rsidR="00C03FF0">
        <w:rPr>
          <w:szCs w:val="24"/>
        </w:rPr>
        <w:t>correct</w:t>
      </w:r>
      <w:r w:rsidR="000933C2">
        <w:rPr>
          <w:szCs w:val="24"/>
        </w:rPr>
        <w:t xml:space="preserve"> as a matter of practice</w:t>
      </w:r>
      <w:r w:rsidR="00961738">
        <w:rPr>
          <w:szCs w:val="24"/>
        </w:rPr>
        <w:t>.  As t</w:t>
      </w:r>
      <w:r w:rsidR="001027DA">
        <w:rPr>
          <w:szCs w:val="24"/>
        </w:rPr>
        <w:t xml:space="preserve">he Claimants </w:t>
      </w:r>
      <w:r w:rsidR="00961738">
        <w:rPr>
          <w:szCs w:val="24"/>
        </w:rPr>
        <w:t xml:space="preserve">have observed, </w:t>
      </w:r>
      <w:r w:rsidR="001027DA">
        <w:rPr>
          <w:szCs w:val="24"/>
        </w:rPr>
        <w:t xml:space="preserve">guidance issued by the </w:t>
      </w:r>
      <w:proofErr w:type="spellStart"/>
      <w:r w:rsidR="00DE503A">
        <w:rPr>
          <w:szCs w:val="24"/>
        </w:rPr>
        <w:t>GRO</w:t>
      </w:r>
      <w:proofErr w:type="spellEnd"/>
      <w:r w:rsidR="00DE503A">
        <w:rPr>
          <w:szCs w:val="24"/>
        </w:rPr>
        <w:t xml:space="preserve"> in 2016/17 </w:t>
      </w:r>
      <w:r w:rsidR="0080185B">
        <w:rPr>
          <w:szCs w:val="24"/>
        </w:rPr>
        <w:t>stated that “</w:t>
      </w:r>
      <w:r w:rsidR="0080185B" w:rsidRPr="00C361AD">
        <w:rPr>
          <w:i/>
          <w:iCs/>
          <w:szCs w:val="24"/>
        </w:rPr>
        <w:t>there must be a clear break between the civil ceremony and any other blessing or commemorative event</w:t>
      </w:r>
      <w:r w:rsidR="0080185B">
        <w:rPr>
          <w:szCs w:val="24"/>
        </w:rPr>
        <w:t>”</w:t>
      </w:r>
      <w:r w:rsidR="007374B0">
        <w:rPr>
          <w:szCs w:val="24"/>
        </w:rPr>
        <w:t xml:space="preserve">; which suggests that </w:t>
      </w:r>
      <w:r w:rsidR="005455B0">
        <w:rPr>
          <w:szCs w:val="24"/>
        </w:rPr>
        <w:t xml:space="preserve">a humanist, </w:t>
      </w:r>
      <w:r w:rsidR="007C3EC4">
        <w:rPr>
          <w:szCs w:val="24"/>
        </w:rPr>
        <w:t xml:space="preserve">legally recognised </w:t>
      </w:r>
      <w:r w:rsidR="005455B0">
        <w:rPr>
          <w:szCs w:val="24"/>
        </w:rPr>
        <w:t>civil wedding could not be one, continuous event.</w:t>
      </w:r>
      <w:r w:rsidR="00121A01">
        <w:rPr>
          <w:szCs w:val="24"/>
        </w:rPr>
        <w:t xml:space="preserve">  I</w:t>
      </w:r>
      <w:r w:rsidR="001A40E0">
        <w:rPr>
          <w:szCs w:val="24"/>
        </w:rPr>
        <w:t>t is</w:t>
      </w:r>
      <w:r w:rsidR="00121A01">
        <w:rPr>
          <w:szCs w:val="24"/>
        </w:rPr>
        <w:t>, however,</w:t>
      </w:r>
      <w:r w:rsidR="001A40E0">
        <w:rPr>
          <w:szCs w:val="24"/>
        </w:rPr>
        <w:t xml:space="preserve"> the Defendant’s public position </w:t>
      </w:r>
      <w:r w:rsidR="00E37B94">
        <w:rPr>
          <w:szCs w:val="24"/>
        </w:rPr>
        <w:t>(</w:t>
      </w:r>
      <w:r w:rsidR="007B1AD0">
        <w:rPr>
          <w:szCs w:val="24"/>
        </w:rPr>
        <w:t>as confirmed in this litigation</w:t>
      </w:r>
      <w:r w:rsidR="007B5607">
        <w:rPr>
          <w:szCs w:val="24"/>
        </w:rPr>
        <w:t>,</w:t>
      </w:r>
      <w:r w:rsidR="007B1AD0">
        <w:rPr>
          <w:szCs w:val="24"/>
        </w:rPr>
        <w:t xml:space="preserve"> and </w:t>
      </w:r>
      <w:r w:rsidR="00E37B94">
        <w:rPr>
          <w:szCs w:val="24"/>
        </w:rPr>
        <w:t xml:space="preserve">supported by the statement of Ms </w:t>
      </w:r>
      <w:r w:rsidR="0038094C">
        <w:rPr>
          <w:szCs w:val="24"/>
        </w:rPr>
        <w:t xml:space="preserve">Tighe, from the </w:t>
      </w:r>
      <w:proofErr w:type="spellStart"/>
      <w:r w:rsidR="003B3DC5">
        <w:rPr>
          <w:szCs w:val="24"/>
        </w:rPr>
        <w:t>GR</w:t>
      </w:r>
      <w:r w:rsidR="007B5607">
        <w:rPr>
          <w:szCs w:val="24"/>
        </w:rPr>
        <w:t>O</w:t>
      </w:r>
      <w:proofErr w:type="spellEnd"/>
      <w:r w:rsidR="0038094C">
        <w:rPr>
          <w:szCs w:val="24"/>
        </w:rPr>
        <w:t xml:space="preserve">) </w:t>
      </w:r>
      <w:r w:rsidR="001A40E0">
        <w:rPr>
          <w:szCs w:val="24"/>
        </w:rPr>
        <w:t xml:space="preserve">that </w:t>
      </w:r>
      <w:r w:rsidR="00E37B94">
        <w:rPr>
          <w:szCs w:val="24"/>
        </w:rPr>
        <w:t xml:space="preserve">there need be only one ceremony, which </w:t>
      </w:r>
      <w:r w:rsidR="0038094C">
        <w:rPr>
          <w:szCs w:val="24"/>
        </w:rPr>
        <w:t>c</w:t>
      </w:r>
      <w:r w:rsidR="00E37B94">
        <w:rPr>
          <w:szCs w:val="24"/>
        </w:rPr>
        <w:t>an incorporate</w:t>
      </w:r>
      <w:r w:rsidR="00C361AD">
        <w:rPr>
          <w:szCs w:val="24"/>
        </w:rPr>
        <w:t xml:space="preserve"> humanist elements and can be conducted by a humanist celebrant</w:t>
      </w:r>
      <w:r w:rsidR="00CF1D29">
        <w:rPr>
          <w:szCs w:val="24"/>
        </w:rPr>
        <w:t>,</w:t>
      </w:r>
      <w:r w:rsidR="00C361AD">
        <w:rPr>
          <w:szCs w:val="24"/>
        </w:rPr>
        <w:t xml:space="preserve"> provided this is in the presence of a </w:t>
      </w:r>
      <w:r w:rsidR="00CF1D29">
        <w:rPr>
          <w:szCs w:val="24"/>
        </w:rPr>
        <w:t>s</w:t>
      </w:r>
      <w:r w:rsidR="00C361AD">
        <w:rPr>
          <w:szCs w:val="24"/>
        </w:rPr>
        <w:t xml:space="preserve">uperintendent registrar and registrar. </w:t>
      </w:r>
      <w:r w:rsidR="007330B2">
        <w:rPr>
          <w:szCs w:val="24"/>
        </w:rPr>
        <w:t xml:space="preserve"> That, it seems to me, is a </w:t>
      </w:r>
      <w:r w:rsidR="00F96350">
        <w:rPr>
          <w:szCs w:val="24"/>
        </w:rPr>
        <w:t>position that is entirely consistent with the requirements of the 1949 Act.</w:t>
      </w:r>
      <w:r w:rsidR="0028171F">
        <w:rPr>
          <w:szCs w:val="24"/>
        </w:rPr>
        <w:t xml:space="preserve"> </w:t>
      </w:r>
    </w:p>
    <w:p w14:paraId="7E280F6E" w14:textId="029A6499" w:rsidR="009A7A84" w:rsidRDefault="00622D62" w:rsidP="000768DC">
      <w:pPr>
        <w:pStyle w:val="ParaLevel1"/>
        <w:rPr>
          <w:szCs w:val="24"/>
        </w:rPr>
      </w:pPr>
      <w:r>
        <w:rPr>
          <w:szCs w:val="24"/>
        </w:rPr>
        <w:t xml:space="preserve">Although the Defendant accepts that participants in such a wedding </w:t>
      </w:r>
      <w:r w:rsidR="00C0667B">
        <w:rPr>
          <w:szCs w:val="24"/>
        </w:rPr>
        <w:t xml:space="preserve">will have to pay a fee for the attendance of the state officials concerned (and it is not suggested that this is </w:t>
      </w:r>
      <w:r w:rsidR="00C0667B" w:rsidRPr="00C0667B">
        <w:rPr>
          <w:i/>
          <w:iCs/>
          <w:szCs w:val="24"/>
        </w:rPr>
        <w:t xml:space="preserve">de </w:t>
      </w:r>
      <w:proofErr w:type="spellStart"/>
      <w:r w:rsidR="00C0667B" w:rsidRPr="00C0667B">
        <w:rPr>
          <w:i/>
          <w:iCs/>
          <w:szCs w:val="24"/>
        </w:rPr>
        <w:t>minimis</w:t>
      </w:r>
      <w:proofErr w:type="spellEnd"/>
      <w:r w:rsidR="00C0667B">
        <w:rPr>
          <w:szCs w:val="24"/>
        </w:rPr>
        <w:t xml:space="preserve">), </w:t>
      </w:r>
      <w:r w:rsidR="00363BE2">
        <w:rPr>
          <w:szCs w:val="24"/>
        </w:rPr>
        <w:t>it is pointed out that religious marriage</w:t>
      </w:r>
      <w:r w:rsidR="00A02B31">
        <w:rPr>
          <w:szCs w:val="24"/>
        </w:rPr>
        <w:t>s</w:t>
      </w:r>
      <w:r w:rsidR="00363BE2">
        <w:rPr>
          <w:szCs w:val="24"/>
        </w:rPr>
        <w:t xml:space="preserve"> will generally</w:t>
      </w:r>
      <w:r w:rsidR="00A02B31">
        <w:rPr>
          <w:szCs w:val="24"/>
        </w:rPr>
        <w:t xml:space="preserve"> involve </w:t>
      </w:r>
      <w:r w:rsidR="00CC2B14">
        <w:rPr>
          <w:szCs w:val="24"/>
        </w:rPr>
        <w:t xml:space="preserve">far greater costs, whether by way of a </w:t>
      </w:r>
      <w:r w:rsidR="00C204C2">
        <w:rPr>
          <w:szCs w:val="24"/>
        </w:rPr>
        <w:t xml:space="preserve">fee to marry in the </w:t>
      </w:r>
      <w:r w:rsidR="005424D7">
        <w:rPr>
          <w:szCs w:val="24"/>
        </w:rPr>
        <w:t>building concerned</w:t>
      </w:r>
      <w:r w:rsidR="00C55BE0">
        <w:rPr>
          <w:szCs w:val="24"/>
        </w:rPr>
        <w:t>,</w:t>
      </w:r>
      <w:r w:rsidR="00A02B31">
        <w:rPr>
          <w:szCs w:val="24"/>
        </w:rPr>
        <w:t xml:space="preserve"> </w:t>
      </w:r>
      <w:r w:rsidR="00A211A1">
        <w:rPr>
          <w:szCs w:val="24"/>
        </w:rPr>
        <w:t xml:space="preserve">or </w:t>
      </w:r>
      <w:r w:rsidR="000D052F">
        <w:rPr>
          <w:szCs w:val="24"/>
        </w:rPr>
        <w:t xml:space="preserve">other </w:t>
      </w:r>
      <w:r w:rsidR="00A211A1">
        <w:rPr>
          <w:szCs w:val="24"/>
        </w:rPr>
        <w:t>cost</w:t>
      </w:r>
      <w:r w:rsidR="0012343A">
        <w:rPr>
          <w:szCs w:val="24"/>
        </w:rPr>
        <w:t>s</w:t>
      </w:r>
      <w:r w:rsidR="00A211A1">
        <w:rPr>
          <w:szCs w:val="24"/>
        </w:rPr>
        <w:t xml:space="preserve"> </w:t>
      </w:r>
      <w:r w:rsidR="0012343A">
        <w:rPr>
          <w:szCs w:val="24"/>
        </w:rPr>
        <w:t xml:space="preserve">associated with the </w:t>
      </w:r>
      <w:proofErr w:type="gramStart"/>
      <w:r w:rsidR="00A211A1">
        <w:rPr>
          <w:szCs w:val="24"/>
        </w:rPr>
        <w:t xml:space="preserve">particular </w:t>
      </w:r>
      <w:r w:rsidR="0012343A">
        <w:rPr>
          <w:szCs w:val="24"/>
        </w:rPr>
        <w:t>religion</w:t>
      </w:r>
      <w:proofErr w:type="gramEnd"/>
      <w:r w:rsidR="00A211A1">
        <w:rPr>
          <w:szCs w:val="24"/>
        </w:rPr>
        <w:t xml:space="preserve">, </w:t>
      </w:r>
      <w:r w:rsidR="0012343A">
        <w:rPr>
          <w:szCs w:val="24"/>
        </w:rPr>
        <w:t xml:space="preserve">and/or </w:t>
      </w:r>
      <w:r w:rsidR="00A27F00">
        <w:rPr>
          <w:szCs w:val="24"/>
        </w:rPr>
        <w:t xml:space="preserve">in respect of a fee for the authorised person who will officiate.  </w:t>
      </w:r>
      <w:r w:rsidR="00486A98">
        <w:rPr>
          <w:szCs w:val="24"/>
        </w:rPr>
        <w:t>The Claimants counter</w:t>
      </w:r>
      <w:r w:rsidR="003F092D">
        <w:rPr>
          <w:szCs w:val="24"/>
        </w:rPr>
        <w:t>, however,</w:t>
      </w:r>
      <w:r w:rsidR="00486A98">
        <w:rPr>
          <w:szCs w:val="24"/>
        </w:rPr>
        <w:t xml:space="preserve"> </w:t>
      </w:r>
      <w:r w:rsidR="003F092D">
        <w:rPr>
          <w:szCs w:val="24"/>
        </w:rPr>
        <w:t>that such costs are also incurred for humanist civil marriages</w:t>
      </w:r>
      <w:r w:rsidR="00765186">
        <w:rPr>
          <w:szCs w:val="24"/>
        </w:rPr>
        <w:t>, where a fee</w:t>
      </w:r>
      <w:r w:rsidR="002E7E45">
        <w:rPr>
          <w:szCs w:val="24"/>
        </w:rPr>
        <w:t xml:space="preserve"> will be paid for the celebrant</w:t>
      </w:r>
      <w:r w:rsidR="002260E1">
        <w:rPr>
          <w:szCs w:val="24"/>
        </w:rPr>
        <w:t>,</w:t>
      </w:r>
      <w:r w:rsidR="002E7E45">
        <w:rPr>
          <w:szCs w:val="24"/>
        </w:rPr>
        <w:t xml:space="preserve"> and there will be additional costs (which may be significant) if the wedding takes place on approved premises.  The difference, the Claimants point out, is that </w:t>
      </w:r>
      <w:r w:rsidR="0042347D">
        <w:rPr>
          <w:szCs w:val="24"/>
        </w:rPr>
        <w:t>they must also pay for the state officials</w:t>
      </w:r>
      <w:r w:rsidR="001D0A01">
        <w:rPr>
          <w:szCs w:val="24"/>
        </w:rPr>
        <w:t>,</w:t>
      </w:r>
      <w:r w:rsidR="0042347D">
        <w:rPr>
          <w:szCs w:val="24"/>
        </w:rPr>
        <w:t xml:space="preserve"> who attend </w:t>
      </w:r>
      <w:r w:rsidR="00621373">
        <w:rPr>
          <w:szCs w:val="24"/>
        </w:rPr>
        <w:t xml:space="preserve">the wedding </w:t>
      </w:r>
      <w:r w:rsidR="0042347D">
        <w:rPr>
          <w:szCs w:val="24"/>
        </w:rPr>
        <w:t xml:space="preserve">as unwanted guests. </w:t>
      </w:r>
    </w:p>
    <w:p w14:paraId="49DE46C1" w14:textId="403DAF3F" w:rsidR="00636470" w:rsidRDefault="009A7A84" w:rsidP="000768DC">
      <w:pPr>
        <w:pStyle w:val="ParaLevel1"/>
        <w:rPr>
          <w:szCs w:val="24"/>
        </w:rPr>
      </w:pPr>
      <w:r>
        <w:rPr>
          <w:szCs w:val="24"/>
        </w:rPr>
        <w:t xml:space="preserve">As for the objection that </w:t>
      </w:r>
      <w:r w:rsidR="007A7208">
        <w:rPr>
          <w:szCs w:val="24"/>
        </w:rPr>
        <w:t>there is</w:t>
      </w:r>
      <w:r w:rsidR="000D3534">
        <w:rPr>
          <w:szCs w:val="24"/>
        </w:rPr>
        <w:t xml:space="preserve"> greater “control” over </w:t>
      </w:r>
      <w:r w:rsidR="007A7208">
        <w:rPr>
          <w:szCs w:val="24"/>
        </w:rPr>
        <w:t xml:space="preserve">civil marriages, the Defendant </w:t>
      </w:r>
      <w:r w:rsidR="007D652B">
        <w:rPr>
          <w:szCs w:val="24"/>
        </w:rPr>
        <w:t xml:space="preserve">contends this is really </w:t>
      </w:r>
      <w:r w:rsidR="004A095E">
        <w:rPr>
          <w:szCs w:val="24"/>
        </w:rPr>
        <w:t xml:space="preserve">a complaint </w:t>
      </w:r>
      <w:r w:rsidR="00337D4F">
        <w:rPr>
          <w:szCs w:val="24"/>
        </w:rPr>
        <w:t>as to</w:t>
      </w:r>
      <w:r w:rsidR="004A095E">
        <w:rPr>
          <w:szCs w:val="24"/>
        </w:rPr>
        <w:t xml:space="preserve"> form rather than substance</w:t>
      </w:r>
      <w:r w:rsidR="00337D4F">
        <w:rPr>
          <w:szCs w:val="24"/>
        </w:rPr>
        <w:t>.  S</w:t>
      </w:r>
      <w:r w:rsidR="00BD7093">
        <w:rPr>
          <w:szCs w:val="24"/>
        </w:rPr>
        <w:t xml:space="preserve">ection 26(1) of the 1949 Act </w:t>
      </w:r>
      <w:r w:rsidR="00F1261F">
        <w:rPr>
          <w:szCs w:val="24"/>
        </w:rPr>
        <w:t xml:space="preserve">provides for </w:t>
      </w:r>
      <w:r w:rsidR="00BD7093">
        <w:rPr>
          <w:szCs w:val="24"/>
        </w:rPr>
        <w:t>state</w:t>
      </w:r>
      <w:r w:rsidR="00F1261F">
        <w:rPr>
          <w:szCs w:val="24"/>
        </w:rPr>
        <w:t xml:space="preserve"> oversight </w:t>
      </w:r>
      <w:r w:rsidR="007931FD">
        <w:rPr>
          <w:szCs w:val="24"/>
        </w:rPr>
        <w:t xml:space="preserve">by the superintendent registrar for </w:t>
      </w:r>
      <w:r w:rsidR="003F32B4">
        <w:rPr>
          <w:szCs w:val="24"/>
        </w:rPr>
        <w:t>both religious and non-religious marriages</w:t>
      </w:r>
      <w:r w:rsidR="00BF2DC6">
        <w:rPr>
          <w:szCs w:val="24"/>
        </w:rPr>
        <w:t xml:space="preserve">; that might take a different form in different cases </w:t>
      </w:r>
      <w:r w:rsidR="00CB270C">
        <w:rPr>
          <w:szCs w:val="24"/>
        </w:rPr>
        <w:t xml:space="preserve">(it is accepted that there is specific, separate treatment of Anglican, Quaker and Jewish marriages) </w:t>
      </w:r>
      <w:r w:rsidR="00BF2DC6">
        <w:rPr>
          <w:szCs w:val="24"/>
        </w:rPr>
        <w:t>but</w:t>
      </w:r>
      <w:r w:rsidR="005B5086">
        <w:rPr>
          <w:szCs w:val="24"/>
        </w:rPr>
        <w:t xml:space="preserve"> </w:t>
      </w:r>
      <w:r w:rsidR="00B85596">
        <w:rPr>
          <w:szCs w:val="24"/>
        </w:rPr>
        <w:t xml:space="preserve">the overarching supervision of the state in all cases is </w:t>
      </w:r>
      <w:r w:rsidR="00EE3E8E">
        <w:rPr>
          <w:szCs w:val="24"/>
        </w:rPr>
        <w:t>provided by the requirement for preliminary formalities to be met (</w:t>
      </w:r>
      <w:r w:rsidR="0037240A">
        <w:rPr>
          <w:szCs w:val="24"/>
        </w:rPr>
        <w:t xml:space="preserve">for example, the notification requirements under section 27) </w:t>
      </w:r>
      <w:r w:rsidR="004E7661">
        <w:rPr>
          <w:szCs w:val="24"/>
        </w:rPr>
        <w:t xml:space="preserve">and there are </w:t>
      </w:r>
      <w:r w:rsidR="005D1D95">
        <w:rPr>
          <w:szCs w:val="24"/>
        </w:rPr>
        <w:t xml:space="preserve">specific </w:t>
      </w:r>
      <w:r w:rsidR="00C43A92">
        <w:rPr>
          <w:szCs w:val="24"/>
        </w:rPr>
        <w:t>requirement</w:t>
      </w:r>
      <w:r w:rsidR="005D1D95">
        <w:rPr>
          <w:szCs w:val="24"/>
        </w:rPr>
        <w:t xml:space="preserve">s for the registration of places of worship.  </w:t>
      </w:r>
    </w:p>
    <w:p w14:paraId="1978CB12" w14:textId="594C429D" w:rsidR="00784D6E" w:rsidRDefault="00784D6E" w:rsidP="000768DC">
      <w:pPr>
        <w:pStyle w:val="ParaLevel1"/>
        <w:rPr>
          <w:szCs w:val="24"/>
        </w:rPr>
      </w:pPr>
      <w:r>
        <w:rPr>
          <w:szCs w:val="24"/>
        </w:rPr>
        <w:t>Similarly, as for the complaint regarding venue,</w:t>
      </w:r>
      <w:r w:rsidR="00234557">
        <w:rPr>
          <w:szCs w:val="24"/>
        </w:rPr>
        <w:t xml:space="preserve"> given</w:t>
      </w:r>
      <w:r>
        <w:rPr>
          <w:szCs w:val="24"/>
        </w:rPr>
        <w:t xml:space="preserve"> </w:t>
      </w:r>
      <w:r w:rsidR="00234557">
        <w:rPr>
          <w:szCs w:val="24"/>
        </w:rPr>
        <w:t xml:space="preserve">the wide range of approved premises permitted, </w:t>
      </w:r>
      <w:r w:rsidR="00256838">
        <w:rPr>
          <w:szCs w:val="24"/>
        </w:rPr>
        <w:t xml:space="preserve">the requirement that </w:t>
      </w:r>
      <w:r w:rsidR="00263BC4">
        <w:rPr>
          <w:szCs w:val="24"/>
        </w:rPr>
        <w:t xml:space="preserve">the solemnization of the marriage take place under a </w:t>
      </w:r>
      <w:r w:rsidR="005D1E9A">
        <w:rPr>
          <w:szCs w:val="24"/>
        </w:rPr>
        <w:t>permanently immovable</w:t>
      </w:r>
      <w:r w:rsidR="00263BC4">
        <w:rPr>
          <w:szCs w:val="24"/>
        </w:rPr>
        <w:t xml:space="preserve"> structure </w:t>
      </w:r>
      <w:r w:rsidR="0011640F">
        <w:rPr>
          <w:szCs w:val="24"/>
        </w:rPr>
        <w:t>need</w:t>
      </w:r>
      <w:r w:rsidR="00263BC4">
        <w:rPr>
          <w:szCs w:val="24"/>
        </w:rPr>
        <w:t xml:space="preserve"> not prevent </w:t>
      </w:r>
      <w:r w:rsidR="00CB183A">
        <w:rPr>
          <w:szCs w:val="24"/>
        </w:rPr>
        <w:t xml:space="preserve">the ceremony taking place in a </w:t>
      </w:r>
      <w:r w:rsidR="00AD69CA">
        <w:rPr>
          <w:szCs w:val="24"/>
        </w:rPr>
        <w:t>location</w:t>
      </w:r>
      <w:r w:rsidR="00CB183A">
        <w:rPr>
          <w:szCs w:val="24"/>
        </w:rPr>
        <w:t xml:space="preserve"> of the participants’ choosing</w:t>
      </w:r>
      <w:r w:rsidR="00234557">
        <w:rPr>
          <w:szCs w:val="24"/>
        </w:rPr>
        <w:t xml:space="preserve">.  In any event, </w:t>
      </w:r>
      <w:r w:rsidR="00853864">
        <w:rPr>
          <w:szCs w:val="24"/>
        </w:rPr>
        <w:t xml:space="preserve">religious marriages would generally </w:t>
      </w:r>
      <w:r w:rsidR="00DC3CCE">
        <w:rPr>
          <w:szCs w:val="24"/>
        </w:rPr>
        <w:t xml:space="preserve">also have to be constrained by this requirement (either because that was </w:t>
      </w:r>
      <w:r w:rsidR="001D3AA7">
        <w:rPr>
          <w:szCs w:val="24"/>
        </w:rPr>
        <w:t xml:space="preserve">required by the </w:t>
      </w:r>
      <w:proofErr w:type="gramStart"/>
      <w:r w:rsidR="001D3AA7">
        <w:rPr>
          <w:szCs w:val="24"/>
        </w:rPr>
        <w:t>particular religion</w:t>
      </w:r>
      <w:proofErr w:type="gramEnd"/>
      <w:r w:rsidR="001D3AA7">
        <w:rPr>
          <w:szCs w:val="24"/>
        </w:rPr>
        <w:t xml:space="preserve"> – as was the case with Anglican and Quaker marriages – or because the marriage would be </w:t>
      </w:r>
      <w:r w:rsidR="003135CD">
        <w:rPr>
          <w:szCs w:val="24"/>
        </w:rPr>
        <w:t xml:space="preserve">solemnized in a registered building).  Only marriages according to the usages of Jews might not have to </w:t>
      </w:r>
      <w:r w:rsidR="00AE4FE5">
        <w:rPr>
          <w:szCs w:val="24"/>
        </w:rPr>
        <w:t>be solemnized under a physical structure, although</w:t>
      </w:r>
      <w:r w:rsidR="00674368">
        <w:rPr>
          <w:szCs w:val="24"/>
        </w:rPr>
        <w:t>,</w:t>
      </w:r>
      <w:r w:rsidR="00AE4FE5">
        <w:rPr>
          <w:szCs w:val="24"/>
        </w:rPr>
        <w:t xml:space="preserve"> even then</w:t>
      </w:r>
      <w:r w:rsidR="00674368">
        <w:rPr>
          <w:szCs w:val="24"/>
        </w:rPr>
        <w:t>,</w:t>
      </w:r>
      <w:r w:rsidR="00AE4FE5">
        <w:rPr>
          <w:szCs w:val="24"/>
        </w:rPr>
        <w:t xml:space="preserve"> </w:t>
      </w:r>
      <w:r w:rsidR="00674368">
        <w:rPr>
          <w:szCs w:val="24"/>
        </w:rPr>
        <w:t>the Defen</w:t>
      </w:r>
      <w:r w:rsidR="00840D64">
        <w:rPr>
          <w:szCs w:val="24"/>
        </w:rPr>
        <w:t xml:space="preserve">dant points out that the couple will generally be married under the </w:t>
      </w:r>
      <w:proofErr w:type="spellStart"/>
      <w:r w:rsidR="00840D64">
        <w:rPr>
          <w:szCs w:val="24"/>
        </w:rPr>
        <w:t>Chuppah</w:t>
      </w:r>
      <w:proofErr w:type="spellEnd"/>
      <w:r w:rsidR="00840D64">
        <w:rPr>
          <w:szCs w:val="24"/>
        </w:rPr>
        <w:t xml:space="preserve"> </w:t>
      </w:r>
      <w:r w:rsidR="00E432E5">
        <w:rPr>
          <w:szCs w:val="24"/>
        </w:rPr>
        <w:t xml:space="preserve">- </w:t>
      </w:r>
      <w:r w:rsidR="00D41735">
        <w:rPr>
          <w:szCs w:val="24"/>
        </w:rPr>
        <w:t>a canopy</w:t>
      </w:r>
      <w:r w:rsidR="00F409AA">
        <w:rPr>
          <w:szCs w:val="24"/>
        </w:rPr>
        <w:t xml:space="preserve"> used in Jewish wedding ceremonies to represent the couple’s new home</w:t>
      </w:r>
      <w:r w:rsidR="008D0500">
        <w:rPr>
          <w:szCs w:val="24"/>
        </w:rPr>
        <w:t>.  F</w:t>
      </w:r>
      <w:r w:rsidR="00E432E5">
        <w:rPr>
          <w:szCs w:val="24"/>
        </w:rPr>
        <w:t>or completeness</w:t>
      </w:r>
      <w:r w:rsidR="00B94F29">
        <w:rPr>
          <w:szCs w:val="24"/>
        </w:rPr>
        <w:t>, I record that t</w:t>
      </w:r>
      <w:r w:rsidR="00F409AA">
        <w:rPr>
          <w:szCs w:val="24"/>
        </w:rPr>
        <w:t>he Claimants do not accept th</w:t>
      </w:r>
      <w:r w:rsidR="00540BC8">
        <w:rPr>
          <w:szCs w:val="24"/>
        </w:rPr>
        <w:t>is point</w:t>
      </w:r>
      <w:r w:rsidR="009A6A3E">
        <w:rPr>
          <w:szCs w:val="24"/>
        </w:rPr>
        <w:t>;</w:t>
      </w:r>
      <w:r w:rsidR="00733AE6">
        <w:rPr>
          <w:szCs w:val="24"/>
        </w:rPr>
        <w:t xml:space="preserve"> </w:t>
      </w:r>
      <w:r w:rsidR="00B94F29">
        <w:rPr>
          <w:szCs w:val="24"/>
        </w:rPr>
        <w:t>relying</w:t>
      </w:r>
      <w:r w:rsidR="00CF0504">
        <w:rPr>
          <w:szCs w:val="24"/>
        </w:rPr>
        <w:t xml:space="preserve"> on the evidence of Rabbi Romain</w:t>
      </w:r>
      <w:r w:rsidR="009A6A3E">
        <w:rPr>
          <w:szCs w:val="24"/>
        </w:rPr>
        <w:t xml:space="preserve"> in these proceedings</w:t>
      </w:r>
      <w:r w:rsidR="00E35D63">
        <w:rPr>
          <w:szCs w:val="24"/>
        </w:rPr>
        <w:t xml:space="preserve">, they note that the </w:t>
      </w:r>
      <w:proofErr w:type="spellStart"/>
      <w:r w:rsidR="00E35D63">
        <w:rPr>
          <w:szCs w:val="24"/>
        </w:rPr>
        <w:t>Chuppah</w:t>
      </w:r>
      <w:proofErr w:type="spellEnd"/>
      <w:r w:rsidR="00E35D63">
        <w:rPr>
          <w:szCs w:val="24"/>
        </w:rPr>
        <w:t>, which is not a permanent immovable structure (</w:t>
      </w:r>
      <w:r w:rsidR="000D4D74">
        <w:rPr>
          <w:szCs w:val="24"/>
        </w:rPr>
        <w:t>indeed, it</w:t>
      </w:r>
      <w:r w:rsidR="00E35D63">
        <w:rPr>
          <w:szCs w:val="24"/>
        </w:rPr>
        <w:t xml:space="preserve"> may simply</w:t>
      </w:r>
      <w:r w:rsidR="000D4D74">
        <w:rPr>
          <w:szCs w:val="24"/>
        </w:rPr>
        <w:t xml:space="preserve"> be</w:t>
      </w:r>
      <w:r w:rsidR="00E35D63">
        <w:rPr>
          <w:szCs w:val="24"/>
        </w:rPr>
        <w:t xml:space="preserve"> a sheet, held over the couple), </w:t>
      </w:r>
      <w:r w:rsidR="009C2F31">
        <w:rPr>
          <w:szCs w:val="24"/>
        </w:rPr>
        <w:t>is not a legal requirement of a Jewish wedding</w:t>
      </w:r>
      <w:r w:rsidR="00D51E0D">
        <w:rPr>
          <w:szCs w:val="24"/>
        </w:rPr>
        <w:t>)</w:t>
      </w:r>
      <w:r w:rsidR="00E432E5">
        <w:rPr>
          <w:szCs w:val="24"/>
        </w:rPr>
        <w:t>.</w:t>
      </w:r>
    </w:p>
    <w:p w14:paraId="43C0EE34" w14:textId="3CA257AB" w:rsidR="00EF3AB2" w:rsidRDefault="00636470" w:rsidP="000768DC">
      <w:pPr>
        <w:pStyle w:val="ParaLevel1"/>
        <w:rPr>
          <w:szCs w:val="24"/>
        </w:rPr>
      </w:pPr>
      <w:r>
        <w:rPr>
          <w:szCs w:val="24"/>
        </w:rPr>
        <w:lastRenderedPageBreak/>
        <w:t xml:space="preserve">More generally, the Defendant </w:t>
      </w:r>
      <w:r w:rsidR="007F7BC5">
        <w:rPr>
          <w:szCs w:val="24"/>
        </w:rPr>
        <w:t xml:space="preserve">points to the freedoms afforded to the Claimants (and other humanists) to have </w:t>
      </w:r>
      <w:r w:rsidR="005F11D2">
        <w:rPr>
          <w:szCs w:val="24"/>
        </w:rPr>
        <w:t>a</w:t>
      </w:r>
      <w:r w:rsidR="007F7BC5">
        <w:rPr>
          <w:szCs w:val="24"/>
        </w:rPr>
        <w:t xml:space="preserve"> marriage ceremony</w:t>
      </w:r>
      <w:r w:rsidR="005F11D2">
        <w:rPr>
          <w:szCs w:val="24"/>
        </w:rPr>
        <w:t>,</w:t>
      </w:r>
      <w:r w:rsidR="007F7BC5">
        <w:rPr>
          <w:szCs w:val="24"/>
        </w:rPr>
        <w:t xml:space="preserve"> </w:t>
      </w:r>
      <w:r w:rsidR="005F11D2">
        <w:rPr>
          <w:szCs w:val="24"/>
        </w:rPr>
        <w:t>conducted by a humanist celebrant, that accords with their beliefs</w:t>
      </w:r>
      <w:r w:rsidR="004C05A7">
        <w:rPr>
          <w:szCs w:val="24"/>
        </w:rPr>
        <w:t xml:space="preserve">, </w:t>
      </w:r>
      <w:r w:rsidR="00094324">
        <w:rPr>
          <w:szCs w:val="24"/>
        </w:rPr>
        <w:t xml:space="preserve">which </w:t>
      </w:r>
      <w:r w:rsidR="005F11D2">
        <w:rPr>
          <w:szCs w:val="24"/>
        </w:rPr>
        <w:t>may be held in one of a wide choice of venues</w:t>
      </w:r>
      <w:r w:rsidR="007B6275">
        <w:rPr>
          <w:szCs w:val="24"/>
        </w:rPr>
        <w:t xml:space="preserve">. </w:t>
      </w:r>
      <w:r w:rsidR="00EF3AB2">
        <w:rPr>
          <w:szCs w:val="24"/>
        </w:rPr>
        <w:t xml:space="preserve"> To the extent that the Claimants </w:t>
      </w:r>
      <w:proofErr w:type="gramStart"/>
      <w:r w:rsidR="00B363C3">
        <w:rPr>
          <w:szCs w:val="24"/>
        </w:rPr>
        <w:t>are able to</w:t>
      </w:r>
      <w:proofErr w:type="gramEnd"/>
      <w:r w:rsidR="00B363C3">
        <w:rPr>
          <w:szCs w:val="24"/>
        </w:rPr>
        <w:t xml:space="preserve"> point to any difference of treatment, the Defendant contends they are not comparing like with like</w:t>
      </w:r>
      <w:r w:rsidR="00024BB9">
        <w:rPr>
          <w:szCs w:val="24"/>
        </w:rPr>
        <w:t xml:space="preserve">.  Unlike humanism, marriage </w:t>
      </w:r>
      <w:r w:rsidR="00B1447E">
        <w:rPr>
          <w:szCs w:val="24"/>
        </w:rPr>
        <w:t>–</w:t>
      </w:r>
      <w:r w:rsidR="00760481">
        <w:rPr>
          <w:szCs w:val="24"/>
        </w:rPr>
        <w:t xml:space="preserve"> </w:t>
      </w:r>
      <w:r w:rsidR="00B1447E">
        <w:rPr>
          <w:szCs w:val="24"/>
        </w:rPr>
        <w:t xml:space="preserve">as with other forms of ceremony and communal expression - </w:t>
      </w:r>
      <w:r w:rsidR="00024BB9">
        <w:rPr>
          <w:szCs w:val="24"/>
        </w:rPr>
        <w:t>is generally a core part of, and intimately linked to, the beliefs of</w:t>
      </w:r>
      <w:r w:rsidR="001920ED">
        <w:rPr>
          <w:szCs w:val="24"/>
        </w:rPr>
        <w:t xml:space="preserve"> the Claimants’ religious comparators</w:t>
      </w:r>
      <w:r w:rsidR="00760481">
        <w:rPr>
          <w:szCs w:val="24"/>
        </w:rPr>
        <w:t xml:space="preserve">; it forms part of the practice of those religions in a way that is not true of humanism.  </w:t>
      </w:r>
      <w:r w:rsidR="007B6275">
        <w:rPr>
          <w:szCs w:val="24"/>
        </w:rPr>
        <w:t xml:space="preserve"> </w:t>
      </w:r>
    </w:p>
    <w:p w14:paraId="23121C51" w14:textId="526B363D" w:rsidR="00D81C88" w:rsidRDefault="00AD2606" w:rsidP="000768DC">
      <w:pPr>
        <w:pStyle w:val="ParaLevel1"/>
      </w:pPr>
      <w:r>
        <w:t>The Claimants object to this characterisation of</w:t>
      </w:r>
      <w:r w:rsidR="00452084">
        <w:t xml:space="preserve"> the difference between humanist and religious belief</w:t>
      </w:r>
      <w:r w:rsidR="008F140B">
        <w:t xml:space="preserve"> but</w:t>
      </w:r>
      <w:r w:rsidR="00A92C47">
        <w:t>, more fundamentally, say it is entirely irrelevant to the difference of treatment of which they complain</w:t>
      </w:r>
      <w:r w:rsidR="002227AD">
        <w:t>, observing that</w:t>
      </w:r>
      <w:r w:rsidR="002B4037">
        <w:t xml:space="preserve"> English law lays down no requirement that </w:t>
      </w:r>
      <w:r w:rsidR="008538E0">
        <w:t>marriage</w:t>
      </w:r>
      <w:r w:rsidR="00C87283">
        <w:t>,</w:t>
      </w:r>
      <w:r w:rsidR="008538E0">
        <w:t xml:space="preserve"> or ceremony</w:t>
      </w:r>
      <w:r w:rsidR="00C87283">
        <w:t>,</w:t>
      </w:r>
      <w:r w:rsidR="008538E0">
        <w:t xml:space="preserve"> is intimately linked to religious belief</w:t>
      </w:r>
      <w:r w:rsidR="00C87283">
        <w:t>,</w:t>
      </w:r>
      <w:r w:rsidR="008538E0">
        <w:t xml:space="preserve"> </w:t>
      </w:r>
      <w:r w:rsidR="006A573C">
        <w:t>or that either should form part of the practice of a</w:t>
      </w:r>
      <w:r w:rsidR="00E10E67">
        <w:t xml:space="preserve"> religion before it </w:t>
      </w:r>
      <w:r w:rsidR="00C87283">
        <w:t>can obtain the necessary authorisation</w:t>
      </w:r>
      <w:r w:rsidR="005415AE">
        <w:t xml:space="preserve"> under the 1949 Act.  In argument, the Claimants point to the apparently neutral position </w:t>
      </w:r>
      <w:r w:rsidR="00820EE8">
        <w:t>of Buddhism towards marriage and they dr</w:t>
      </w:r>
      <w:r w:rsidR="00355DD8">
        <w:t>a</w:t>
      </w:r>
      <w:r w:rsidR="00820EE8">
        <w:t xml:space="preserve">w attention to </w:t>
      </w:r>
      <w:r w:rsidR="00820EE8" w:rsidRPr="00BF154F">
        <w:t xml:space="preserve">the </w:t>
      </w:r>
      <w:proofErr w:type="spellStart"/>
      <w:r w:rsidR="00820EE8" w:rsidRPr="00BF154F">
        <w:t>Aetherius</w:t>
      </w:r>
      <w:proofErr w:type="spellEnd"/>
      <w:r w:rsidR="00820EE8" w:rsidRPr="00BF154F">
        <w:t xml:space="preserve"> Society</w:t>
      </w:r>
      <w:r w:rsidR="00970F99">
        <w:t xml:space="preserve"> – a religious mo</w:t>
      </w:r>
      <w:r w:rsidR="00423C33">
        <w:t>v</w:t>
      </w:r>
      <w:r w:rsidR="00970F99">
        <w:t xml:space="preserve">ement that </w:t>
      </w:r>
      <w:r w:rsidR="00820EE8" w:rsidRPr="00BF154F">
        <w:t xml:space="preserve">is </w:t>
      </w:r>
      <w:r w:rsidR="00423C33">
        <w:t xml:space="preserve">stated to </w:t>
      </w:r>
      <w:r w:rsidR="00423C33" w:rsidRPr="00BF154F">
        <w:t>profess that</w:t>
      </w:r>
      <w:r w:rsidR="009120C8">
        <w:t xml:space="preserve"> “</w:t>
      </w:r>
      <w:r w:rsidR="00423C33" w:rsidRPr="00820EE8">
        <w:rPr>
          <w:i/>
        </w:rPr>
        <w:t xml:space="preserve">the Master Jesus, the Lord Buddha, Sri Krishna, St Peter, Confucius, Lao </w:t>
      </w:r>
      <w:proofErr w:type="spellStart"/>
      <w:r w:rsidR="00423C33" w:rsidRPr="00820EE8">
        <w:rPr>
          <w:i/>
        </w:rPr>
        <w:t>Zi</w:t>
      </w:r>
      <w:proofErr w:type="spellEnd"/>
      <w:r w:rsidR="00423C33" w:rsidRPr="00820EE8">
        <w:rPr>
          <w:i/>
        </w:rPr>
        <w:t xml:space="preserve"> and Moses, to name a few, were in fact extra</w:t>
      </w:r>
      <w:r w:rsidR="00985CFC">
        <w:rPr>
          <w:i/>
        </w:rPr>
        <w:t>-</w:t>
      </w:r>
      <w:r w:rsidR="00423C33" w:rsidRPr="00820EE8">
        <w:rPr>
          <w:i/>
        </w:rPr>
        <w:t>terrestrial in origin”</w:t>
      </w:r>
      <w:r w:rsidR="00423C33" w:rsidRPr="00BF154F">
        <w:t xml:space="preserve"> being among the </w:t>
      </w:r>
      <w:r w:rsidR="00423C33" w:rsidRPr="00820EE8">
        <w:rPr>
          <w:i/>
        </w:rPr>
        <w:t xml:space="preserve">“Cosmic Masters … from civilizations, ancient beyond conception, which exist on higher planes of existence on other planets in our solar system” </w:t>
      </w:r>
      <w:r w:rsidR="00423C33" w:rsidRPr="00BF154F">
        <w:t>who revealed themselves to a London taxi driver in the 1950s</w:t>
      </w:r>
      <w:r w:rsidR="0079384D">
        <w:t xml:space="preserve"> (see the Claimants’ Skeleton Argument at paragraph</w:t>
      </w:r>
      <w:r w:rsidR="007D16E2">
        <w:t xml:space="preserve"> 86)</w:t>
      </w:r>
      <w:r w:rsidR="005D03BE">
        <w:t xml:space="preserve"> – which is able to legally marry its adherents under the 1949 Act</w:t>
      </w:r>
      <w:r w:rsidR="00985CFC">
        <w:t xml:space="preserve"> (</w:t>
      </w:r>
      <w:r w:rsidR="00FA175A">
        <w:t>it has a building in Warrington registered for this purpose</w:t>
      </w:r>
      <w:r w:rsidR="00A6252E">
        <w:t>, although there is no evidence that any marriage has been solemni</w:t>
      </w:r>
      <w:r w:rsidR="001E444D">
        <w:t>z</w:t>
      </w:r>
      <w:r w:rsidR="00A6252E">
        <w:t>ed there</w:t>
      </w:r>
      <w:r w:rsidR="00FA175A">
        <w:t>)</w:t>
      </w:r>
      <w:r w:rsidR="009E13D6">
        <w:t xml:space="preserve">, albeit there is no indication </w:t>
      </w:r>
      <w:r w:rsidR="0079384D">
        <w:t xml:space="preserve"> </w:t>
      </w:r>
      <w:r w:rsidR="009E13D6">
        <w:t xml:space="preserve">that marriage has any particular significance </w:t>
      </w:r>
      <w:r w:rsidR="003F2598">
        <w:t xml:space="preserve">for this religion. </w:t>
      </w:r>
    </w:p>
    <w:p w14:paraId="73DB62CC" w14:textId="0F878D89" w:rsidR="002C61F0" w:rsidRPr="00121B9F" w:rsidRDefault="002C61F0" w:rsidP="000768DC">
      <w:pPr>
        <w:pStyle w:val="ParaLevel1"/>
      </w:pPr>
      <w:r>
        <w:t xml:space="preserve">The </w:t>
      </w:r>
      <w:r w:rsidR="00D81C88">
        <w:t xml:space="preserve">Defendant does not accept that the </w:t>
      </w:r>
      <w:r>
        <w:t xml:space="preserve">Claimants’ references to Buddhism or to the </w:t>
      </w:r>
      <w:proofErr w:type="spellStart"/>
      <w:r w:rsidRPr="00BF154F">
        <w:t>Aetherius</w:t>
      </w:r>
      <w:proofErr w:type="spellEnd"/>
      <w:r>
        <w:t xml:space="preserve"> Society in argument </w:t>
      </w:r>
      <w:r w:rsidR="00E439F4">
        <w:t xml:space="preserve">provide evidence that can serve to </w:t>
      </w:r>
      <w:r>
        <w:t xml:space="preserve">undermine </w:t>
      </w:r>
      <w:r w:rsidR="00E439F4">
        <w:t xml:space="preserve">the more general point made: </w:t>
      </w:r>
      <w:proofErr w:type="gramStart"/>
      <w:r>
        <w:t>the</w:t>
      </w:r>
      <w:proofErr w:type="gramEnd"/>
      <w:r>
        <w:t xml:space="preserve"> Claimants</w:t>
      </w:r>
      <w:r w:rsidR="00750EEA">
        <w:t xml:space="preserve"> must</w:t>
      </w:r>
      <w:r>
        <w:t xml:space="preserve"> prove their case on discrimination and </w:t>
      </w:r>
      <w:r w:rsidR="008903CC">
        <w:t xml:space="preserve">the Defendant submits that the evidence </w:t>
      </w:r>
      <w:r w:rsidR="00155189">
        <w:t>does not establish that they are in an analogous position to their religious comparators</w:t>
      </w:r>
      <w:r>
        <w:t xml:space="preserve">.   </w:t>
      </w:r>
    </w:p>
    <w:p w14:paraId="6B3B07F0" w14:textId="1086A9C4" w:rsidR="003B5B7B" w:rsidRPr="003B5B7B" w:rsidRDefault="003B5B7B" w:rsidP="000768DC">
      <w:pPr>
        <w:pStyle w:val="ParaLevel1"/>
        <w:numPr>
          <w:ilvl w:val="0"/>
          <w:numId w:val="0"/>
        </w:numPr>
        <w:rPr>
          <w:i/>
          <w:iCs/>
          <w:szCs w:val="24"/>
        </w:rPr>
      </w:pPr>
      <w:bookmarkStart w:id="20" w:name="diff_of_treatmnt_disscussn_nd_conclsn"/>
      <w:r w:rsidRPr="003B5B7B">
        <w:rPr>
          <w:i/>
          <w:iCs/>
          <w:szCs w:val="24"/>
        </w:rPr>
        <w:t>Difference of Treatment</w:t>
      </w:r>
      <w:r w:rsidR="00AD2606">
        <w:rPr>
          <w:i/>
          <w:iCs/>
          <w:szCs w:val="24"/>
        </w:rPr>
        <w:t xml:space="preserve"> and Analogous Position</w:t>
      </w:r>
      <w:r w:rsidRPr="003B5B7B">
        <w:rPr>
          <w:i/>
          <w:iCs/>
          <w:szCs w:val="24"/>
        </w:rPr>
        <w:t xml:space="preserve"> – Discussion and Conclusions</w:t>
      </w:r>
      <w:bookmarkEnd w:id="20"/>
    </w:p>
    <w:p w14:paraId="5F76B2C5" w14:textId="32D9E906" w:rsidR="000B400F" w:rsidRDefault="00700B45" w:rsidP="000768DC">
      <w:pPr>
        <w:pStyle w:val="ParaLevel1"/>
        <w:rPr>
          <w:szCs w:val="24"/>
        </w:rPr>
      </w:pPr>
      <w:r>
        <w:rPr>
          <w:szCs w:val="24"/>
        </w:rPr>
        <w:t xml:space="preserve">The right </w:t>
      </w:r>
      <w:r w:rsidR="005545A6">
        <w:rPr>
          <w:szCs w:val="24"/>
        </w:rPr>
        <w:t>under article 14</w:t>
      </w:r>
      <w:r w:rsidR="007B0887">
        <w:rPr>
          <w:szCs w:val="24"/>
        </w:rPr>
        <w:t>,</w:t>
      </w:r>
      <w:r w:rsidR="005545A6">
        <w:rPr>
          <w:szCs w:val="24"/>
        </w:rPr>
        <w:t xml:space="preserve"> not to be discriminated against in the enjoyment of rights guaranteed under the ECHR</w:t>
      </w:r>
      <w:r w:rsidR="007B0887">
        <w:rPr>
          <w:szCs w:val="24"/>
        </w:rPr>
        <w:t>,</w:t>
      </w:r>
      <w:r w:rsidR="005545A6">
        <w:rPr>
          <w:szCs w:val="24"/>
        </w:rPr>
        <w:t xml:space="preserve"> </w:t>
      </w:r>
      <w:r w:rsidR="00FD0337">
        <w:rPr>
          <w:szCs w:val="24"/>
        </w:rPr>
        <w:t>is violated when</w:t>
      </w:r>
      <w:r w:rsidR="00701A82">
        <w:rPr>
          <w:szCs w:val="24"/>
        </w:rPr>
        <w:t>, without objective and reasonable justification,</w:t>
      </w:r>
      <w:r w:rsidR="00FD0337">
        <w:rPr>
          <w:szCs w:val="24"/>
        </w:rPr>
        <w:t xml:space="preserve"> the state treats differently persons in analogous situations, or</w:t>
      </w:r>
      <w:r w:rsidR="00701A82">
        <w:rPr>
          <w:szCs w:val="24"/>
        </w:rPr>
        <w:t xml:space="preserve"> fails to treat differently persons whose situations are significantly different </w:t>
      </w:r>
      <w:r w:rsidR="00A96D3B">
        <w:rPr>
          <w:szCs w:val="24"/>
        </w:rPr>
        <w:t xml:space="preserve">(see </w:t>
      </w:r>
      <w:proofErr w:type="spellStart"/>
      <w:r w:rsidR="00A96D3B" w:rsidRPr="00C22D3C">
        <w:rPr>
          <w:i/>
          <w:iCs/>
          <w:szCs w:val="24"/>
        </w:rPr>
        <w:t>Thlimmenos</w:t>
      </w:r>
      <w:proofErr w:type="spellEnd"/>
      <w:r w:rsidR="00A96D3B" w:rsidRPr="00C22D3C">
        <w:rPr>
          <w:i/>
          <w:iCs/>
          <w:szCs w:val="24"/>
        </w:rPr>
        <w:t xml:space="preserve"> v Greece</w:t>
      </w:r>
      <w:r w:rsidR="00A96D3B">
        <w:rPr>
          <w:szCs w:val="24"/>
        </w:rPr>
        <w:t xml:space="preserve"> [2001] 31 </w:t>
      </w:r>
      <w:proofErr w:type="spellStart"/>
      <w:r w:rsidR="00A96D3B">
        <w:rPr>
          <w:szCs w:val="24"/>
        </w:rPr>
        <w:t>EHRR</w:t>
      </w:r>
      <w:proofErr w:type="spellEnd"/>
      <w:r w:rsidR="00A96D3B">
        <w:rPr>
          <w:szCs w:val="24"/>
        </w:rPr>
        <w:t xml:space="preserve"> 15, at paragraph 44)</w:t>
      </w:r>
      <w:r w:rsidR="00D844E7">
        <w:rPr>
          <w:szCs w:val="24"/>
        </w:rPr>
        <w:t xml:space="preserve">; as Elias LJ put it in </w:t>
      </w:r>
      <w:r w:rsidR="00720AF7" w:rsidRPr="005437BC">
        <w:rPr>
          <w:i/>
          <w:iCs/>
          <w:szCs w:val="24"/>
        </w:rPr>
        <w:t>AM (Somalia) v Entry Clearance Officer</w:t>
      </w:r>
      <w:r w:rsidR="00720AF7">
        <w:rPr>
          <w:szCs w:val="24"/>
        </w:rPr>
        <w:t xml:space="preserve"> </w:t>
      </w:r>
      <w:r w:rsidR="00404462">
        <w:rPr>
          <w:szCs w:val="24"/>
        </w:rPr>
        <w:t xml:space="preserve">[2009] </w:t>
      </w:r>
      <w:proofErr w:type="spellStart"/>
      <w:r w:rsidR="00404462">
        <w:rPr>
          <w:szCs w:val="24"/>
        </w:rPr>
        <w:t>EWCA</w:t>
      </w:r>
      <w:proofErr w:type="spellEnd"/>
      <w:r w:rsidR="00404462">
        <w:rPr>
          <w:szCs w:val="24"/>
        </w:rPr>
        <w:t xml:space="preserve"> </w:t>
      </w:r>
      <w:proofErr w:type="spellStart"/>
      <w:r w:rsidR="00404462">
        <w:rPr>
          <w:szCs w:val="24"/>
        </w:rPr>
        <w:t>Civ</w:t>
      </w:r>
      <w:proofErr w:type="spellEnd"/>
      <w:r w:rsidR="00404462">
        <w:rPr>
          <w:szCs w:val="24"/>
        </w:rPr>
        <w:t xml:space="preserve"> 634, at paragraph 34:</w:t>
      </w:r>
    </w:p>
    <w:p w14:paraId="0C359813" w14:textId="1D5126FD" w:rsidR="00D844E7" w:rsidRDefault="00404462" w:rsidP="000768DC">
      <w:pPr>
        <w:pStyle w:val="Quote"/>
        <w:rPr>
          <w:szCs w:val="24"/>
        </w:rPr>
      </w:pPr>
      <w:bookmarkStart w:id="21" w:name="para34"/>
      <w:r>
        <w:t>“</w:t>
      </w:r>
      <w:r w:rsidR="00D844E7">
        <w:t xml:space="preserve">Like cases should be treated alike, and different cases treated differently. This is perhaps the most fundamental principle of justice. If defendant A is sentenced to a harsher sentence than equally culpable defendant B that is universally perceived to be unfair. Conversely, if A is sentenced to the same sentence as more culpable defendant B, that is also unfair. The sentences themselves may be harsh or lenient, but that is not the source of this </w:t>
      </w:r>
      <w:proofErr w:type="gramStart"/>
      <w:r w:rsidR="00D844E7">
        <w:t>particular injustice</w:t>
      </w:r>
      <w:proofErr w:type="gramEnd"/>
      <w:r w:rsidR="00D844E7">
        <w:t xml:space="preserve"> or unfairness. It is the unjust differentiation in the first case, and the unjust failure to make a </w:t>
      </w:r>
      <w:r w:rsidR="00D844E7">
        <w:lastRenderedPageBreak/>
        <w:t>differentiation in the second, which constitutes the unfairness. This is so whatever the reason for making, or failing to make, the differentiation.</w:t>
      </w:r>
      <w:bookmarkEnd w:id="21"/>
      <w:r>
        <w:t>”</w:t>
      </w:r>
    </w:p>
    <w:p w14:paraId="5644E034" w14:textId="55D572F9" w:rsidR="001C7116" w:rsidRDefault="003B7168" w:rsidP="000768DC">
      <w:pPr>
        <w:pStyle w:val="ParaLevel1"/>
        <w:rPr>
          <w:szCs w:val="24"/>
        </w:rPr>
      </w:pPr>
      <w:proofErr w:type="gramStart"/>
      <w:r>
        <w:rPr>
          <w:szCs w:val="24"/>
        </w:rPr>
        <w:t>Whether or not</w:t>
      </w:r>
      <w:proofErr w:type="gramEnd"/>
      <w:r>
        <w:rPr>
          <w:szCs w:val="24"/>
        </w:rPr>
        <w:t xml:space="preserve"> there has been a relevant difference in treatment thus </w:t>
      </w:r>
      <w:r w:rsidR="00711144">
        <w:rPr>
          <w:szCs w:val="24"/>
        </w:rPr>
        <w:t xml:space="preserve">requires an understanding of the </w:t>
      </w:r>
      <w:r w:rsidR="00086707">
        <w:rPr>
          <w:szCs w:val="24"/>
        </w:rPr>
        <w:t>circumstances of those who are being compared</w:t>
      </w:r>
      <w:r w:rsidR="004507DC">
        <w:rPr>
          <w:szCs w:val="24"/>
        </w:rPr>
        <w:t xml:space="preserve">.  In the present case, </w:t>
      </w:r>
      <w:r w:rsidR="00A62680">
        <w:rPr>
          <w:szCs w:val="24"/>
        </w:rPr>
        <w:t>it is helpful to undertake this assessment by considering</w:t>
      </w:r>
      <w:r w:rsidR="006967C0">
        <w:rPr>
          <w:szCs w:val="24"/>
        </w:rPr>
        <w:t xml:space="preserve"> together</w:t>
      </w:r>
      <w:r w:rsidR="00A62680">
        <w:rPr>
          <w:szCs w:val="24"/>
        </w:rPr>
        <w:t xml:space="preserve"> both the question whether there has been a difference of treatment </w:t>
      </w:r>
      <w:r w:rsidR="000653FC">
        <w:rPr>
          <w:szCs w:val="24"/>
        </w:rPr>
        <w:t xml:space="preserve">(question (2)) </w:t>
      </w:r>
      <w:r w:rsidR="00A62680">
        <w:rPr>
          <w:szCs w:val="24"/>
        </w:rPr>
        <w:t>and th</w:t>
      </w:r>
      <w:r w:rsidR="006967C0">
        <w:rPr>
          <w:szCs w:val="24"/>
        </w:rPr>
        <w:t>at of analogous position</w:t>
      </w:r>
      <w:r w:rsidR="000653FC">
        <w:rPr>
          <w:szCs w:val="24"/>
        </w:rPr>
        <w:t xml:space="preserve"> (question (4))</w:t>
      </w:r>
      <w:r w:rsidR="006967C0">
        <w:rPr>
          <w:szCs w:val="24"/>
        </w:rPr>
        <w:t xml:space="preserve">. </w:t>
      </w:r>
    </w:p>
    <w:p w14:paraId="3468DA59" w14:textId="54F8D44C" w:rsidR="00D844E7" w:rsidRDefault="00D62B44" w:rsidP="000768DC">
      <w:pPr>
        <w:pStyle w:val="ParaLevel1"/>
        <w:rPr>
          <w:szCs w:val="24"/>
        </w:rPr>
      </w:pPr>
      <w:r>
        <w:rPr>
          <w:szCs w:val="24"/>
        </w:rPr>
        <w:t>T</w:t>
      </w:r>
      <w:r w:rsidR="006A359B">
        <w:rPr>
          <w:szCs w:val="24"/>
        </w:rPr>
        <w:t>he right in issue is th</w:t>
      </w:r>
      <w:r w:rsidR="00F4744E">
        <w:rPr>
          <w:szCs w:val="24"/>
        </w:rPr>
        <w:t>at guaranteed by article 9 ECHR</w:t>
      </w:r>
      <w:r>
        <w:rPr>
          <w:szCs w:val="24"/>
        </w:rPr>
        <w:t xml:space="preserve"> -</w:t>
      </w:r>
      <w:r w:rsidR="00F4744E">
        <w:rPr>
          <w:szCs w:val="24"/>
        </w:rPr>
        <w:t xml:space="preserve"> to manifest religion or belief</w:t>
      </w:r>
      <w:r w:rsidR="0039534B">
        <w:rPr>
          <w:szCs w:val="24"/>
        </w:rPr>
        <w:t xml:space="preserve"> </w:t>
      </w:r>
      <w:r>
        <w:rPr>
          <w:szCs w:val="24"/>
        </w:rPr>
        <w:t xml:space="preserve">- </w:t>
      </w:r>
      <w:r w:rsidR="00B33B9C">
        <w:rPr>
          <w:szCs w:val="24"/>
        </w:rPr>
        <w:t>an</w:t>
      </w:r>
      <w:r w:rsidR="00B77EF7">
        <w:rPr>
          <w:szCs w:val="24"/>
        </w:rPr>
        <w:t>d</w:t>
      </w:r>
      <w:r w:rsidR="00B33B9C">
        <w:rPr>
          <w:szCs w:val="24"/>
        </w:rPr>
        <w:t xml:space="preserve"> </w:t>
      </w:r>
      <w:proofErr w:type="gramStart"/>
      <w:r w:rsidR="00B33B9C">
        <w:rPr>
          <w:szCs w:val="24"/>
        </w:rPr>
        <w:t>it</w:t>
      </w:r>
      <w:r w:rsidR="005121C9">
        <w:rPr>
          <w:szCs w:val="24"/>
        </w:rPr>
        <w:t xml:space="preserve"> is clear that</w:t>
      </w:r>
      <w:r w:rsidR="005437BC">
        <w:rPr>
          <w:szCs w:val="24"/>
        </w:rPr>
        <w:t>,</w:t>
      </w:r>
      <w:r w:rsidR="005121C9">
        <w:rPr>
          <w:szCs w:val="24"/>
        </w:rPr>
        <w:t xml:space="preserve"> </w:t>
      </w:r>
      <w:r w:rsidR="008F4ACD">
        <w:rPr>
          <w:szCs w:val="24"/>
        </w:rPr>
        <w:t>under</w:t>
      </w:r>
      <w:proofErr w:type="gramEnd"/>
      <w:r w:rsidR="008F4ACD">
        <w:rPr>
          <w:szCs w:val="24"/>
        </w:rPr>
        <w:t xml:space="preserve"> </w:t>
      </w:r>
      <w:r w:rsidR="008F6A4E">
        <w:rPr>
          <w:szCs w:val="24"/>
        </w:rPr>
        <w:t>English</w:t>
      </w:r>
      <w:r w:rsidR="008F4ACD">
        <w:rPr>
          <w:szCs w:val="24"/>
        </w:rPr>
        <w:t xml:space="preserve"> law, </w:t>
      </w:r>
      <w:r w:rsidR="005121C9">
        <w:rPr>
          <w:szCs w:val="24"/>
        </w:rPr>
        <w:t xml:space="preserve">there are differences in </w:t>
      </w:r>
      <w:r w:rsidR="003B7982">
        <w:rPr>
          <w:szCs w:val="24"/>
        </w:rPr>
        <w:t>how people are able to manifest their religion or belief through marriage.</w:t>
      </w:r>
      <w:r w:rsidR="00482941">
        <w:rPr>
          <w:szCs w:val="24"/>
        </w:rPr>
        <w:t xml:space="preserve">  </w:t>
      </w:r>
      <w:r w:rsidR="00342265">
        <w:rPr>
          <w:szCs w:val="24"/>
        </w:rPr>
        <w:t xml:space="preserve">I note, in passing, that there are differences in treatment </w:t>
      </w:r>
      <w:r w:rsidR="00F6626B">
        <w:rPr>
          <w:szCs w:val="24"/>
        </w:rPr>
        <w:t xml:space="preserve">for </w:t>
      </w:r>
      <w:r w:rsidR="00092F47">
        <w:rPr>
          <w:szCs w:val="24"/>
        </w:rPr>
        <w:t xml:space="preserve">those holding </w:t>
      </w:r>
      <w:r w:rsidR="00F6626B">
        <w:rPr>
          <w:szCs w:val="24"/>
        </w:rPr>
        <w:t>different religious</w:t>
      </w:r>
      <w:r w:rsidR="00092F47">
        <w:rPr>
          <w:szCs w:val="24"/>
        </w:rPr>
        <w:t xml:space="preserve"> beliefs</w:t>
      </w:r>
      <w:r w:rsidR="00F6626B">
        <w:rPr>
          <w:szCs w:val="24"/>
        </w:rPr>
        <w:t xml:space="preserve">: Jews and Quakers are treated differently to Anglicans and </w:t>
      </w:r>
      <w:r w:rsidR="00D936B6">
        <w:rPr>
          <w:szCs w:val="24"/>
        </w:rPr>
        <w:t>yet further differences arise in respect of other religious groups</w:t>
      </w:r>
      <w:r w:rsidR="00C846D3">
        <w:rPr>
          <w:szCs w:val="24"/>
        </w:rPr>
        <w:t xml:space="preserve">.  To some extent this might be said to reflect the differences in the beliefs of </w:t>
      </w:r>
      <w:r w:rsidR="00941B9E">
        <w:rPr>
          <w:szCs w:val="24"/>
        </w:rPr>
        <w:t xml:space="preserve">the different religions </w:t>
      </w:r>
      <w:r w:rsidR="00517228">
        <w:rPr>
          <w:szCs w:val="24"/>
        </w:rPr>
        <w:t>– different cases being treated differently – but</w:t>
      </w:r>
      <w:r w:rsidR="00637FAD">
        <w:rPr>
          <w:szCs w:val="24"/>
        </w:rPr>
        <w:t>,</w:t>
      </w:r>
      <w:r w:rsidR="00AF0DD6">
        <w:rPr>
          <w:szCs w:val="24"/>
        </w:rPr>
        <w:t xml:space="preserve"> </w:t>
      </w:r>
      <w:proofErr w:type="gramStart"/>
      <w:r w:rsidR="0075323B">
        <w:rPr>
          <w:szCs w:val="24"/>
        </w:rPr>
        <w:t>whether or not</w:t>
      </w:r>
      <w:proofErr w:type="gramEnd"/>
      <w:r w:rsidR="0075323B">
        <w:rPr>
          <w:szCs w:val="24"/>
        </w:rPr>
        <w:t xml:space="preserve"> that is so</w:t>
      </w:r>
      <w:r w:rsidR="00637FAD">
        <w:rPr>
          <w:szCs w:val="24"/>
        </w:rPr>
        <w:t>, this</w:t>
      </w:r>
      <w:r w:rsidR="0033232A">
        <w:rPr>
          <w:szCs w:val="24"/>
        </w:rPr>
        <w:t xml:space="preserve"> </w:t>
      </w:r>
      <w:r w:rsidR="00B518C2">
        <w:rPr>
          <w:szCs w:val="24"/>
        </w:rPr>
        <w:t>is</w:t>
      </w:r>
      <w:r w:rsidR="00870C60">
        <w:rPr>
          <w:szCs w:val="24"/>
        </w:rPr>
        <w:t xml:space="preserve"> </w:t>
      </w:r>
      <w:r w:rsidR="00AF0DD6">
        <w:rPr>
          <w:szCs w:val="24"/>
        </w:rPr>
        <w:t xml:space="preserve">not </w:t>
      </w:r>
      <w:r w:rsidR="00B518C2">
        <w:rPr>
          <w:szCs w:val="24"/>
        </w:rPr>
        <w:t xml:space="preserve">an </w:t>
      </w:r>
      <w:r w:rsidR="00AF0DD6">
        <w:rPr>
          <w:szCs w:val="24"/>
        </w:rPr>
        <w:t xml:space="preserve">issue </w:t>
      </w:r>
      <w:r w:rsidR="00B518C2">
        <w:rPr>
          <w:szCs w:val="24"/>
        </w:rPr>
        <w:t>I am required</w:t>
      </w:r>
      <w:r w:rsidR="00870C60">
        <w:rPr>
          <w:szCs w:val="24"/>
        </w:rPr>
        <w:t xml:space="preserve"> </w:t>
      </w:r>
      <w:r w:rsidR="00AF0DD6">
        <w:rPr>
          <w:szCs w:val="24"/>
        </w:rPr>
        <w:t>to determine</w:t>
      </w:r>
      <w:r w:rsidR="00517228">
        <w:rPr>
          <w:szCs w:val="24"/>
        </w:rPr>
        <w:t xml:space="preserve"> </w:t>
      </w:r>
      <w:r w:rsidR="0025666B">
        <w:rPr>
          <w:szCs w:val="24"/>
        </w:rPr>
        <w:t>in these proceedings.  The Claimants</w:t>
      </w:r>
      <w:r w:rsidR="00AF0DD6">
        <w:rPr>
          <w:szCs w:val="24"/>
        </w:rPr>
        <w:t>’</w:t>
      </w:r>
      <w:r w:rsidR="0025666B">
        <w:rPr>
          <w:szCs w:val="24"/>
        </w:rPr>
        <w:t xml:space="preserve"> complain</w:t>
      </w:r>
      <w:r w:rsidR="00713F09">
        <w:rPr>
          <w:szCs w:val="24"/>
        </w:rPr>
        <w:t xml:space="preserve">t is of the </w:t>
      </w:r>
      <w:r w:rsidR="00483221">
        <w:rPr>
          <w:szCs w:val="24"/>
        </w:rPr>
        <w:t xml:space="preserve">difference between the legal </w:t>
      </w:r>
      <w:r w:rsidR="005A5ABD">
        <w:rPr>
          <w:szCs w:val="24"/>
        </w:rPr>
        <w:t>recognition</w:t>
      </w:r>
      <w:r w:rsidR="00240BD5">
        <w:rPr>
          <w:szCs w:val="24"/>
        </w:rPr>
        <w:t xml:space="preserve"> of</w:t>
      </w:r>
      <w:r w:rsidR="00784EA9">
        <w:rPr>
          <w:szCs w:val="24"/>
        </w:rPr>
        <w:t xml:space="preserve"> a</w:t>
      </w:r>
      <w:r w:rsidR="00EA3D46">
        <w:rPr>
          <w:szCs w:val="24"/>
        </w:rPr>
        <w:t xml:space="preserve"> </w:t>
      </w:r>
      <w:r w:rsidR="004A7246">
        <w:rPr>
          <w:szCs w:val="24"/>
        </w:rPr>
        <w:t xml:space="preserve">religious </w:t>
      </w:r>
      <w:r w:rsidR="00784EA9">
        <w:rPr>
          <w:szCs w:val="24"/>
        </w:rPr>
        <w:t>ceremony solemnizing a marriage</w:t>
      </w:r>
      <w:r w:rsidR="00DE0138">
        <w:rPr>
          <w:szCs w:val="24"/>
        </w:rPr>
        <w:t xml:space="preserve">, </w:t>
      </w:r>
      <w:r w:rsidR="00784EA9" w:rsidRPr="009D54C7">
        <w:rPr>
          <w:i/>
          <w:iCs/>
          <w:szCs w:val="24"/>
        </w:rPr>
        <w:t>without</w:t>
      </w:r>
      <w:r w:rsidR="00784EA9">
        <w:rPr>
          <w:szCs w:val="24"/>
        </w:rPr>
        <w:t xml:space="preserve"> </w:t>
      </w:r>
      <w:r w:rsidR="00DE0138">
        <w:rPr>
          <w:szCs w:val="24"/>
        </w:rPr>
        <w:t>(</w:t>
      </w:r>
      <w:r w:rsidR="00784EA9">
        <w:rPr>
          <w:szCs w:val="24"/>
        </w:rPr>
        <w:t xml:space="preserve">once initial authorisations have been </w:t>
      </w:r>
      <w:r w:rsidR="00DE0138">
        <w:rPr>
          <w:szCs w:val="24"/>
        </w:rPr>
        <w:t xml:space="preserve">given in certain cases) </w:t>
      </w:r>
      <w:r w:rsidR="005A5ABD">
        <w:rPr>
          <w:szCs w:val="24"/>
        </w:rPr>
        <w:t>a registrar and superintendent registrar being present</w:t>
      </w:r>
      <w:r w:rsidR="00F90291">
        <w:rPr>
          <w:szCs w:val="24"/>
        </w:rPr>
        <w:t xml:space="preserve">, and </w:t>
      </w:r>
      <w:r w:rsidR="00315DB1">
        <w:rPr>
          <w:szCs w:val="24"/>
        </w:rPr>
        <w:t xml:space="preserve">the lack of </w:t>
      </w:r>
      <w:r w:rsidR="009F665F">
        <w:rPr>
          <w:szCs w:val="24"/>
        </w:rPr>
        <w:t xml:space="preserve">such </w:t>
      </w:r>
      <w:r w:rsidR="00315DB1">
        <w:rPr>
          <w:szCs w:val="24"/>
        </w:rPr>
        <w:t xml:space="preserve">recognition given to a humanist ceremony in the same </w:t>
      </w:r>
      <w:r w:rsidR="00CB0E7B">
        <w:rPr>
          <w:szCs w:val="24"/>
        </w:rPr>
        <w:t xml:space="preserve">circumstances.  </w:t>
      </w:r>
      <w:r w:rsidR="009867F9">
        <w:rPr>
          <w:szCs w:val="24"/>
        </w:rPr>
        <w:t>At a superficial level, this can be characterised as the “unwanted guests” problem</w:t>
      </w:r>
      <w:r w:rsidR="005121C9">
        <w:rPr>
          <w:szCs w:val="24"/>
        </w:rPr>
        <w:t xml:space="preserve"> </w:t>
      </w:r>
      <w:r w:rsidR="00AE7D1D">
        <w:rPr>
          <w:szCs w:val="24"/>
        </w:rPr>
        <w:t xml:space="preserve">(with the consequential additional costs entailed); </w:t>
      </w:r>
      <w:r w:rsidR="00C218DA">
        <w:rPr>
          <w:szCs w:val="24"/>
        </w:rPr>
        <w:t xml:space="preserve">more fundamentally, however, this gives rise to a difference in how </w:t>
      </w:r>
      <w:r w:rsidR="0040104F">
        <w:rPr>
          <w:szCs w:val="24"/>
        </w:rPr>
        <w:t xml:space="preserve">the law treats the manifestation of religious and other beliefs through the ceremony of marriage.  </w:t>
      </w:r>
    </w:p>
    <w:p w14:paraId="7A78B99F" w14:textId="60EEEA48" w:rsidR="00685375" w:rsidRPr="00685375" w:rsidRDefault="00424D33" w:rsidP="000768DC">
      <w:pPr>
        <w:pStyle w:val="ParaLevel1"/>
        <w:rPr>
          <w:szCs w:val="24"/>
        </w:rPr>
      </w:pPr>
      <w:r>
        <w:rPr>
          <w:szCs w:val="24"/>
        </w:rPr>
        <w:t xml:space="preserve">The Defendant contends that this is not a relevant difference because the ceremony of marriage </w:t>
      </w:r>
      <w:r w:rsidR="00D7792A">
        <w:rPr>
          <w:szCs w:val="24"/>
        </w:rPr>
        <w:t xml:space="preserve">has a significance for adherents to </w:t>
      </w:r>
      <w:proofErr w:type="gramStart"/>
      <w:r w:rsidR="00D7792A">
        <w:rPr>
          <w:szCs w:val="24"/>
        </w:rPr>
        <w:t>particular religious</w:t>
      </w:r>
      <w:proofErr w:type="gramEnd"/>
      <w:r w:rsidR="00D7792A">
        <w:rPr>
          <w:szCs w:val="24"/>
        </w:rPr>
        <w:t xml:space="preserve"> beliefs</w:t>
      </w:r>
      <w:r w:rsidR="00A12F22">
        <w:rPr>
          <w:szCs w:val="24"/>
        </w:rPr>
        <w:t>,</w:t>
      </w:r>
      <w:r w:rsidR="00D7792A">
        <w:rPr>
          <w:szCs w:val="24"/>
        </w:rPr>
        <w:t xml:space="preserve"> </w:t>
      </w:r>
      <w:r w:rsidR="00767E81">
        <w:rPr>
          <w:szCs w:val="24"/>
        </w:rPr>
        <w:t xml:space="preserve">which is not the same for those who hold humanist beliefs. </w:t>
      </w:r>
      <w:r w:rsidR="004A33DE">
        <w:rPr>
          <w:szCs w:val="24"/>
        </w:rPr>
        <w:t xml:space="preserve"> In addressing the question of ambit, however, I have already found that </w:t>
      </w:r>
      <w:r w:rsidR="00773FC5">
        <w:rPr>
          <w:szCs w:val="24"/>
        </w:rPr>
        <w:t>for many humanists</w:t>
      </w:r>
      <w:r w:rsidR="006C45FC">
        <w:rPr>
          <w:szCs w:val="24"/>
        </w:rPr>
        <w:t xml:space="preserve"> </w:t>
      </w:r>
      <w:r w:rsidR="002C61F0">
        <w:rPr>
          <w:lang w:eastAsia="en-GB"/>
        </w:rPr>
        <w:t xml:space="preserve">the </w:t>
      </w:r>
      <w:r w:rsidR="002C61F0" w:rsidRPr="000C196B">
        <w:rPr>
          <w:lang w:eastAsia="en-GB"/>
        </w:rPr>
        <w:t>ceremonies that mark significant life events</w:t>
      </w:r>
      <w:r w:rsidR="00773FC5">
        <w:rPr>
          <w:lang w:eastAsia="en-GB"/>
        </w:rPr>
        <w:t xml:space="preserve"> – including </w:t>
      </w:r>
      <w:r w:rsidR="002C61F0" w:rsidRPr="000C196B">
        <w:rPr>
          <w:lang w:eastAsia="en-GB"/>
        </w:rPr>
        <w:t>marriage</w:t>
      </w:r>
      <w:r w:rsidR="00773FC5">
        <w:rPr>
          <w:lang w:eastAsia="en-GB"/>
        </w:rPr>
        <w:t xml:space="preserve"> -</w:t>
      </w:r>
      <w:r w:rsidR="002C61F0" w:rsidRPr="000C196B">
        <w:rPr>
          <w:lang w:eastAsia="en-GB"/>
        </w:rPr>
        <w:t xml:space="preserve"> provide a close and direct link to the belief</w:t>
      </w:r>
      <w:r w:rsidR="002C61F0">
        <w:rPr>
          <w:lang w:eastAsia="en-GB"/>
        </w:rPr>
        <w:t>s</w:t>
      </w:r>
      <w:r w:rsidR="002C61F0" w:rsidRPr="000C196B">
        <w:rPr>
          <w:lang w:eastAsia="en-GB"/>
        </w:rPr>
        <w:t xml:space="preserve"> of the participants such as to amount to a manifestation of th</w:t>
      </w:r>
      <w:r w:rsidR="002C61F0">
        <w:rPr>
          <w:lang w:eastAsia="en-GB"/>
        </w:rPr>
        <w:t>ose</w:t>
      </w:r>
      <w:r w:rsidR="002C61F0" w:rsidRPr="000C196B">
        <w:rPr>
          <w:lang w:eastAsia="en-GB"/>
        </w:rPr>
        <w:t xml:space="preserve"> belief</w:t>
      </w:r>
      <w:r w:rsidR="002C61F0">
        <w:rPr>
          <w:lang w:eastAsia="en-GB"/>
        </w:rPr>
        <w:t>s</w:t>
      </w:r>
      <w:r w:rsidR="003E09D8">
        <w:rPr>
          <w:lang w:eastAsia="en-GB"/>
        </w:rPr>
        <w:t xml:space="preserve">.  </w:t>
      </w:r>
      <w:r w:rsidR="003A3823">
        <w:rPr>
          <w:lang w:eastAsia="en-GB"/>
        </w:rPr>
        <w:t xml:space="preserve">The position of such a humanist </w:t>
      </w:r>
      <w:r w:rsidR="005F050C">
        <w:rPr>
          <w:lang w:eastAsia="en-GB"/>
        </w:rPr>
        <w:t xml:space="preserve">(which would include each of the Claimants in this case) is directly analogous to the position of </w:t>
      </w:r>
      <w:r w:rsidR="001A1440">
        <w:rPr>
          <w:lang w:eastAsia="en-GB"/>
        </w:rPr>
        <w:t xml:space="preserve">a person holding a religious belief who similarly </w:t>
      </w:r>
      <w:r w:rsidR="00752E6D">
        <w:rPr>
          <w:lang w:eastAsia="en-GB"/>
        </w:rPr>
        <w:t xml:space="preserve">wishes to </w:t>
      </w:r>
      <w:r w:rsidR="00E14814">
        <w:rPr>
          <w:lang w:eastAsia="en-GB"/>
        </w:rPr>
        <w:t>manifest th</w:t>
      </w:r>
      <w:r w:rsidR="00F35C42">
        <w:rPr>
          <w:lang w:eastAsia="en-GB"/>
        </w:rPr>
        <w:t>at</w:t>
      </w:r>
      <w:r w:rsidR="00E14814">
        <w:rPr>
          <w:lang w:eastAsia="en-GB"/>
        </w:rPr>
        <w:t xml:space="preserve"> belief when </w:t>
      </w:r>
      <w:r w:rsidR="0066495D">
        <w:rPr>
          <w:lang w:eastAsia="en-GB"/>
        </w:rPr>
        <w:t xml:space="preserve">they </w:t>
      </w:r>
      <w:proofErr w:type="gramStart"/>
      <w:r w:rsidR="00890180">
        <w:rPr>
          <w:lang w:eastAsia="en-GB"/>
        </w:rPr>
        <w:t>enter into</w:t>
      </w:r>
      <w:proofErr w:type="gramEnd"/>
      <w:r w:rsidR="00890180">
        <w:rPr>
          <w:lang w:eastAsia="en-GB"/>
        </w:rPr>
        <w:t xml:space="preserve"> marriage. </w:t>
      </w:r>
      <w:r w:rsidR="00A35B6A">
        <w:rPr>
          <w:lang w:eastAsia="en-GB"/>
        </w:rPr>
        <w:t xml:space="preserve"> </w:t>
      </w:r>
    </w:p>
    <w:p w14:paraId="6840A09D" w14:textId="083F5208" w:rsidR="00547412" w:rsidRPr="00547412" w:rsidRDefault="00685375" w:rsidP="000768DC">
      <w:pPr>
        <w:pStyle w:val="ParaLevel1"/>
        <w:rPr>
          <w:szCs w:val="24"/>
        </w:rPr>
      </w:pPr>
      <w:r>
        <w:rPr>
          <w:lang w:eastAsia="en-GB"/>
        </w:rPr>
        <w:t>More generally, a</w:t>
      </w:r>
      <w:r w:rsidR="00A35B6A">
        <w:rPr>
          <w:lang w:eastAsia="en-GB"/>
        </w:rPr>
        <w:t xml:space="preserve">s the Claimants have observed, </w:t>
      </w:r>
      <w:r>
        <w:rPr>
          <w:lang w:eastAsia="en-GB"/>
        </w:rPr>
        <w:t xml:space="preserve">the legal recognition of religious marriage ceremonies </w:t>
      </w:r>
      <w:r w:rsidR="00090AC5">
        <w:rPr>
          <w:lang w:eastAsia="en-GB"/>
        </w:rPr>
        <w:t>under English law is not made dependent</w:t>
      </w:r>
      <w:r w:rsidR="005F17B9">
        <w:rPr>
          <w:lang w:eastAsia="en-GB"/>
        </w:rPr>
        <w:t xml:space="preserve"> </w:t>
      </w:r>
      <w:r w:rsidR="00F927A5">
        <w:rPr>
          <w:lang w:eastAsia="en-GB"/>
        </w:rPr>
        <w:t xml:space="preserve">on a link being shown between marriage and a </w:t>
      </w:r>
      <w:proofErr w:type="gramStart"/>
      <w:r w:rsidR="00F927A5">
        <w:rPr>
          <w:lang w:eastAsia="en-GB"/>
        </w:rPr>
        <w:t>particular religious</w:t>
      </w:r>
      <w:proofErr w:type="gramEnd"/>
      <w:r w:rsidR="00F927A5">
        <w:rPr>
          <w:lang w:eastAsia="en-GB"/>
        </w:rPr>
        <w:t xml:space="preserve"> belief. </w:t>
      </w:r>
      <w:r w:rsidR="00547412">
        <w:rPr>
          <w:lang w:eastAsia="en-GB"/>
        </w:rPr>
        <w:t xml:space="preserve"> The </w:t>
      </w:r>
      <w:r w:rsidR="006E7DE6">
        <w:rPr>
          <w:lang w:eastAsia="en-GB"/>
        </w:rPr>
        <w:t xml:space="preserve">need to compare like with like </w:t>
      </w:r>
      <w:r w:rsidR="005D02E4">
        <w:rPr>
          <w:lang w:eastAsia="en-GB"/>
        </w:rPr>
        <w:t>–</w:t>
      </w:r>
      <w:r w:rsidR="006E7DE6">
        <w:rPr>
          <w:lang w:eastAsia="en-GB"/>
        </w:rPr>
        <w:t xml:space="preserve"> </w:t>
      </w:r>
      <w:r w:rsidR="005D02E4">
        <w:rPr>
          <w:lang w:eastAsia="en-GB"/>
        </w:rPr>
        <w:t xml:space="preserve">the </w:t>
      </w:r>
      <w:r w:rsidR="00547412">
        <w:rPr>
          <w:lang w:eastAsia="en-GB"/>
        </w:rPr>
        <w:t xml:space="preserve">requirement </w:t>
      </w:r>
      <w:r w:rsidR="005D02E4">
        <w:rPr>
          <w:lang w:eastAsia="en-GB"/>
        </w:rPr>
        <w:t xml:space="preserve">that complainant and comparator are in </w:t>
      </w:r>
      <w:r w:rsidR="00D1363F">
        <w:rPr>
          <w:lang w:eastAsia="en-GB"/>
        </w:rPr>
        <w:t xml:space="preserve">analogous positions </w:t>
      </w:r>
      <w:r w:rsidR="005D02E4">
        <w:rPr>
          <w:lang w:eastAsia="en-GB"/>
        </w:rPr>
        <w:t xml:space="preserve">– must </w:t>
      </w:r>
      <w:r w:rsidR="00D1363F">
        <w:rPr>
          <w:lang w:eastAsia="en-GB"/>
        </w:rPr>
        <w:t xml:space="preserve">refer to </w:t>
      </w:r>
      <w:r w:rsidR="004C017A">
        <w:rPr>
          <w:lang w:eastAsia="en-GB"/>
        </w:rPr>
        <w:t xml:space="preserve">circumstances that are material </w:t>
      </w:r>
      <w:r w:rsidR="0036631A">
        <w:rPr>
          <w:lang w:eastAsia="en-GB"/>
        </w:rPr>
        <w:t xml:space="preserve">to the treatment in issue.  Although the 1949 Act lays down </w:t>
      </w:r>
      <w:proofErr w:type="gramStart"/>
      <w:r w:rsidR="002848EA">
        <w:rPr>
          <w:lang w:eastAsia="en-GB"/>
        </w:rPr>
        <w:t>a number of</w:t>
      </w:r>
      <w:proofErr w:type="gramEnd"/>
      <w:r w:rsidR="002848EA">
        <w:rPr>
          <w:lang w:eastAsia="en-GB"/>
        </w:rPr>
        <w:t xml:space="preserve"> requirements </w:t>
      </w:r>
      <w:r w:rsidR="00DF706B">
        <w:rPr>
          <w:lang w:eastAsia="en-GB"/>
        </w:rPr>
        <w:t xml:space="preserve">before </w:t>
      </w:r>
      <w:r w:rsidR="00E541B4">
        <w:rPr>
          <w:lang w:eastAsia="en-GB"/>
        </w:rPr>
        <w:t>certain religious marriage ceremonies can be legally recognised (</w:t>
      </w:r>
      <w:r w:rsidR="00597F94">
        <w:rPr>
          <w:lang w:eastAsia="en-GB"/>
        </w:rPr>
        <w:t>for example</w:t>
      </w:r>
      <w:r w:rsidR="00E541B4">
        <w:rPr>
          <w:lang w:eastAsia="en-GB"/>
        </w:rPr>
        <w:t xml:space="preserve">, in respect of the registration of a </w:t>
      </w:r>
      <w:r w:rsidR="00597F94">
        <w:rPr>
          <w:lang w:eastAsia="en-GB"/>
        </w:rPr>
        <w:t>place of worship</w:t>
      </w:r>
      <w:r w:rsidR="00E541B4">
        <w:rPr>
          <w:lang w:eastAsia="en-GB"/>
        </w:rPr>
        <w:t xml:space="preserve">, see section </w:t>
      </w:r>
      <w:r w:rsidR="00597F94">
        <w:rPr>
          <w:lang w:eastAsia="en-GB"/>
        </w:rPr>
        <w:t xml:space="preserve">41), </w:t>
      </w:r>
      <w:r w:rsidR="00927405">
        <w:rPr>
          <w:lang w:eastAsia="en-GB"/>
        </w:rPr>
        <w:t xml:space="preserve">there is no requirement that the religion in question </w:t>
      </w:r>
      <w:r w:rsidR="00B6093C">
        <w:rPr>
          <w:lang w:eastAsia="en-GB"/>
        </w:rPr>
        <w:t>must</w:t>
      </w:r>
      <w:r w:rsidR="000F2CDE">
        <w:rPr>
          <w:lang w:eastAsia="en-GB"/>
        </w:rPr>
        <w:t xml:space="preserve"> be shown to place any particular significance on marriage. </w:t>
      </w:r>
      <w:r w:rsidR="00203298">
        <w:rPr>
          <w:lang w:eastAsia="en-GB"/>
        </w:rPr>
        <w:t xml:space="preserve"> The</w:t>
      </w:r>
      <w:r w:rsidR="00FE456D">
        <w:rPr>
          <w:lang w:eastAsia="en-GB"/>
        </w:rPr>
        <w:t xml:space="preserve"> examples relied on by the Claimants </w:t>
      </w:r>
      <w:r w:rsidR="00DA5AB0">
        <w:rPr>
          <w:lang w:eastAsia="en-GB"/>
        </w:rPr>
        <w:t xml:space="preserve">are </w:t>
      </w:r>
      <w:r w:rsidR="006D7AC5">
        <w:rPr>
          <w:lang w:eastAsia="en-GB"/>
        </w:rPr>
        <w:t>merely</w:t>
      </w:r>
      <w:r w:rsidR="00A64471">
        <w:rPr>
          <w:lang w:eastAsia="en-GB"/>
        </w:rPr>
        <w:t xml:space="preserve"> illustrations of </w:t>
      </w:r>
      <w:r w:rsidR="006D7AC5">
        <w:rPr>
          <w:lang w:eastAsia="en-GB"/>
        </w:rPr>
        <w:t>a</w:t>
      </w:r>
      <w:r w:rsidR="00A64471">
        <w:rPr>
          <w:lang w:eastAsia="en-GB"/>
        </w:rPr>
        <w:t xml:space="preserve"> point</w:t>
      </w:r>
      <w:r w:rsidR="006D7AC5">
        <w:rPr>
          <w:lang w:eastAsia="en-GB"/>
        </w:rPr>
        <w:t xml:space="preserve"> that is made good by the legislation in issue</w:t>
      </w:r>
      <w:r w:rsidR="00A64471">
        <w:rPr>
          <w:lang w:eastAsia="en-GB"/>
        </w:rPr>
        <w:t>: the</w:t>
      </w:r>
      <w:r w:rsidR="00203298">
        <w:rPr>
          <w:lang w:eastAsia="en-GB"/>
        </w:rPr>
        <w:t xml:space="preserve"> distinctions that the Defendant seeks to draw in these proceedings are not distinctions made within the </w:t>
      </w:r>
      <w:r w:rsidR="00566886">
        <w:rPr>
          <w:lang w:eastAsia="en-GB"/>
        </w:rPr>
        <w:t xml:space="preserve">1949 Act. </w:t>
      </w:r>
      <w:r w:rsidR="00EA6295">
        <w:rPr>
          <w:lang w:eastAsia="en-GB"/>
        </w:rPr>
        <w:t xml:space="preserve"> </w:t>
      </w:r>
      <w:r w:rsidR="00F927A5">
        <w:rPr>
          <w:lang w:eastAsia="en-GB"/>
        </w:rPr>
        <w:t xml:space="preserve"> </w:t>
      </w:r>
    </w:p>
    <w:p w14:paraId="6FA1C9AB" w14:textId="5E2750E9" w:rsidR="00197C36" w:rsidRPr="002561E4" w:rsidRDefault="000667F1" w:rsidP="000768DC">
      <w:pPr>
        <w:pStyle w:val="ParaLevel1"/>
        <w:rPr>
          <w:szCs w:val="24"/>
        </w:rPr>
      </w:pPr>
      <w:r w:rsidRPr="002561E4">
        <w:rPr>
          <w:szCs w:val="24"/>
        </w:rPr>
        <w:lastRenderedPageBreak/>
        <w:t xml:space="preserve">That said, </w:t>
      </w:r>
      <w:r w:rsidR="00782297" w:rsidRPr="002561E4">
        <w:rPr>
          <w:szCs w:val="24"/>
        </w:rPr>
        <w:t xml:space="preserve">it is right to </w:t>
      </w:r>
      <w:r w:rsidR="00F01F3F" w:rsidRPr="002561E4">
        <w:rPr>
          <w:szCs w:val="24"/>
        </w:rPr>
        <w:t xml:space="preserve">note that </w:t>
      </w:r>
      <w:r w:rsidR="006D5EE9" w:rsidRPr="002561E4">
        <w:rPr>
          <w:szCs w:val="24"/>
        </w:rPr>
        <w:t xml:space="preserve">marriage ceremonies that take place in </w:t>
      </w:r>
      <w:r w:rsidR="00577A61" w:rsidRPr="002561E4">
        <w:rPr>
          <w:szCs w:val="24"/>
        </w:rPr>
        <w:t>a register office or on approved premises</w:t>
      </w:r>
      <w:r w:rsidR="009E49B6" w:rsidRPr="002561E4">
        <w:rPr>
          <w:szCs w:val="24"/>
        </w:rPr>
        <w:t xml:space="preserve"> (which should not be religious premises</w:t>
      </w:r>
      <w:r w:rsidR="00185919" w:rsidRPr="002561E4">
        <w:rPr>
          <w:szCs w:val="24"/>
        </w:rPr>
        <w:t>, see schedule 1</w:t>
      </w:r>
      <w:r w:rsidR="00793614">
        <w:rPr>
          <w:szCs w:val="24"/>
        </w:rPr>
        <w:t>,</w:t>
      </w:r>
      <w:r w:rsidR="00185919" w:rsidRPr="002561E4">
        <w:rPr>
          <w:szCs w:val="24"/>
        </w:rPr>
        <w:t xml:space="preserve"> paragraph 4(a) of the 2005 Regulations)</w:t>
      </w:r>
      <w:r w:rsidR="00577A61" w:rsidRPr="002561E4">
        <w:rPr>
          <w:szCs w:val="24"/>
        </w:rPr>
        <w:t xml:space="preserve">, </w:t>
      </w:r>
      <w:r w:rsidR="00E6309D" w:rsidRPr="002561E4">
        <w:rPr>
          <w:szCs w:val="24"/>
        </w:rPr>
        <w:t xml:space="preserve">are subject to </w:t>
      </w:r>
      <w:r w:rsidR="006E140D" w:rsidRPr="002561E4">
        <w:rPr>
          <w:szCs w:val="24"/>
        </w:rPr>
        <w:t xml:space="preserve">the requirement that no religious service shall be used (see sections 45(2) and 46B of the </w:t>
      </w:r>
      <w:r w:rsidR="009E49B6" w:rsidRPr="002561E4">
        <w:rPr>
          <w:szCs w:val="24"/>
        </w:rPr>
        <w:t>1949 Act)</w:t>
      </w:r>
      <w:r w:rsidR="00BD5106" w:rsidRPr="002561E4">
        <w:rPr>
          <w:szCs w:val="24"/>
        </w:rPr>
        <w:t xml:space="preserve">.  </w:t>
      </w:r>
      <w:r w:rsidR="00FF5B38" w:rsidRPr="002561E4">
        <w:rPr>
          <w:szCs w:val="24"/>
        </w:rPr>
        <w:t xml:space="preserve">Does that mean that </w:t>
      </w:r>
      <w:r w:rsidR="00A927B8" w:rsidRPr="002561E4">
        <w:rPr>
          <w:szCs w:val="24"/>
        </w:rPr>
        <w:t xml:space="preserve">those who wish to manifest their religious beliefs through marriage are thus </w:t>
      </w:r>
      <w:r w:rsidR="001C373C" w:rsidRPr="002561E4">
        <w:rPr>
          <w:szCs w:val="24"/>
        </w:rPr>
        <w:t xml:space="preserve">placed in a </w:t>
      </w:r>
      <w:r w:rsidR="00A927B8" w:rsidRPr="002561E4">
        <w:rPr>
          <w:szCs w:val="24"/>
        </w:rPr>
        <w:t>different</w:t>
      </w:r>
      <w:r w:rsidR="001C373C" w:rsidRPr="002561E4">
        <w:rPr>
          <w:szCs w:val="24"/>
        </w:rPr>
        <w:t xml:space="preserve"> position</w:t>
      </w:r>
      <w:r w:rsidR="00A927B8" w:rsidRPr="002561E4">
        <w:rPr>
          <w:szCs w:val="24"/>
        </w:rPr>
        <w:t xml:space="preserve"> to those who </w:t>
      </w:r>
      <w:r w:rsidR="008E571B" w:rsidRPr="002561E4">
        <w:rPr>
          <w:szCs w:val="24"/>
        </w:rPr>
        <w:t>do not?  I</w:t>
      </w:r>
      <w:r w:rsidR="00402F81" w:rsidRPr="002561E4">
        <w:rPr>
          <w:szCs w:val="24"/>
        </w:rPr>
        <w:t xml:space="preserve">n my judgment that question must be answered in the negative.  The state has chosen to </w:t>
      </w:r>
      <w:r w:rsidR="007B38E4" w:rsidRPr="002561E4">
        <w:rPr>
          <w:szCs w:val="24"/>
        </w:rPr>
        <w:t>make separate provision for the legal recognition of religious marriage ceremonies</w:t>
      </w:r>
      <w:r w:rsidR="007E2E18" w:rsidRPr="002561E4">
        <w:rPr>
          <w:szCs w:val="24"/>
        </w:rPr>
        <w:t xml:space="preserve">; in so doing, it </w:t>
      </w:r>
      <w:r w:rsidR="0024793E">
        <w:rPr>
          <w:szCs w:val="24"/>
        </w:rPr>
        <w:t xml:space="preserve">places trust in </w:t>
      </w:r>
      <w:r w:rsidR="007E2E18" w:rsidRPr="002561E4">
        <w:rPr>
          <w:szCs w:val="24"/>
        </w:rPr>
        <w:t xml:space="preserve">those </w:t>
      </w:r>
      <w:r w:rsidR="0024793E">
        <w:rPr>
          <w:szCs w:val="24"/>
        </w:rPr>
        <w:t>authorised</w:t>
      </w:r>
      <w:r w:rsidR="007E2E18" w:rsidRPr="002561E4">
        <w:rPr>
          <w:szCs w:val="24"/>
        </w:rPr>
        <w:t xml:space="preserve"> by th</w:t>
      </w:r>
      <w:r w:rsidR="00227B54">
        <w:rPr>
          <w:szCs w:val="24"/>
        </w:rPr>
        <w:t xml:space="preserve">e </w:t>
      </w:r>
      <w:r w:rsidR="007E2E18" w:rsidRPr="002561E4">
        <w:rPr>
          <w:szCs w:val="24"/>
        </w:rPr>
        <w:t>religions</w:t>
      </w:r>
      <w:r w:rsidR="0024793E">
        <w:rPr>
          <w:szCs w:val="24"/>
        </w:rPr>
        <w:t xml:space="preserve"> in question</w:t>
      </w:r>
      <w:r w:rsidR="007E2E18" w:rsidRPr="002561E4">
        <w:rPr>
          <w:szCs w:val="24"/>
        </w:rPr>
        <w:t xml:space="preserve"> to officiate over such ceremonies.  </w:t>
      </w:r>
      <w:r w:rsidR="002D2FD4" w:rsidRPr="002561E4">
        <w:rPr>
          <w:szCs w:val="24"/>
        </w:rPr>
        <w:t>Whil</w:t>
      </w:r>
      <w:r w:rsidR="008F5A25" w:rsidRPr="002561E4">
        <w:rPr>
          <w:szCs w:val="24"/>
        </w:rPr>
        <w:t>e</w:t>
      </w:r>
      <w:r w:rsidR="002D2FD4" w:rsidRPr="002561E4">
        <w:rPr>
          <w:szCs w:val="24"/>
        </w:rPr>
        <w:t xml:space="preserve"> couples who hold humanis</w:t>
      </w:r>
      <w:r w:rsidR="00BD00B1" w:rsidRPr="002561E4">
        <w:rPr>
          <w:szCs w:val="24"/>
        </w:rPr>
        <w:t xml:space="preserve">t beliefs may be able to </w:t>
      </w:r>
      <w:r w:rsidR="00C10FCC" w:rsidRPr="002561E4">
        <w:rPr>
          <w:szCs w:val="24"/>
        </w:rPr>
        <w:t>manifest those beliefs through a ceremony conducted by a humanist celebrant and according to the usages of Humanists UK (</w:t>
      </w:r>
      <w:r w:rsidR="00E711CA" w:rsidRPr="002561E4">
        <w:rPr>
          <w:szCs w:val="24"/>
        </w:rPr>
        <w:t xml:space="preserve">I am proceeding on the basis that the Defendant is correct in his characterisation of what </w:t>
      </w:r>
      <w:r w:rsidR="00C50AAB" w:rsidRPr="002561E4">
        <w:rPr>
          <w:szCs w:val="24"/>
        </w:rPr>
        <w:t>is allowed in practical terms</w:t>
      </w:r>
      <w:r w:rsidR="00E711CA" w:rsidRPr="002561E4">
        <w:rPr>
          <w:szCs w:val="24"/>
        </w:rPr>
        <w:t>)</w:t>
      </w:r>
      <w:r w:rsidR="00D7720E" w:rsidRPr="002561E4">
        <w:rPr>
          <w:szCs w:val="24"/>
        </w:rPr>
        <w:t xml:space="preserve">, that celebrant – </w:t>
      </w:r>
      <w:r w:rsidR="00D1062A" w:rsidRPr="002561E4">
        <w:rPr>
          <w:szCs w:val="24"/>
        </w:rPr>
        <w:t xml:space="preserve">who will, </w:t>
      </w:r>
      <w:r w:rsidR="00F96EBC" w:rsidRPr="002561E4">
        <w:rPr>
          <w:szCs w:val="24"/>
        </w:rPr>
        <w:t xml:space="preserve">consistent with the emphasis </w:t>
      </w:r>
      <w:r w:rsidR="00853395" w:rsidRPr="002561E4">
        <w:rPr>
          <w:szCs w:val="24"/>
        </w:rPr>
        <w:t>humanism places on the individual</w:t>
      </w:r>
      <w:r w:rsidR="00457FE3">
        <w:rPr>
          <w:szCs w:val="24"/>
        </w:rPr>
        <w:t xml:space="preserve"> person</w:t>
      </w:r>
      <w:r w:rsidR="00853395" w:rsidRPr="002561E4">
        <w:rPr>
          <w:szCs w:val="24"/>
        </w:rPr>
        <w:t xml:space="preserve">, have got to know the couple and devised a ceremony </w:t>
      </w:r>
      <w:r w:rsidR="00D1062A" w:rsidRPr="002561E4">
        <w:rPr>
          <w:color w:val="000000"/>
          <w:szCs w:val="24"/>
          <w:lang w:eastAsia="en-GB"/>
        </w:rPr>
        <w:t>that is individual to them</w:t>
      </w:r>
      <w:r w:rsidR="004C4624" w:rsidRPr="002561E4">
        <w:rPr>
          <w:color w:val="000000"/>
          <w:szCs w:val="24"/>
          <w:lang w:eastAsia="en-GB"/>
        </w:rPr>
        <w:t xml:space="preserve"> (see the evidence set out at paragraph</w:t>
      </w:r>
      <w:r w:rsidR="00654B24">
        <w:rPr>
          <w:color w:val="000000"/>
          <w:szCs w:val="24"/>
          <w:lang w:eastAsia="en-GB"/>
        </w:rPr>
        <w:t xml:space="preserve"> 28 </w:t>
      </w:r>
      <w:r w:rsidR="002E6037" w:rsidRPr="002561E4">
        <w:rPr>
          <w:color w:val="000000"/>
          <w:szCs w:val="24"/>
          <w:lang w:eastAsia="en-GB"/>
        </w:rPr>
        <w:t>above) – will not be</w:t>
      </w:r>
      <w:r w:rsidR="006870BE" w:rsidRPr="002561E4">
        <w:rPr>
          <w:color w:val="000000"/>
          <w:szCs w:val="24"/>
          <w:lang w:eastAsia="en-GB"/>
        </w:rPr>
        <w:t xml:space="preserve"> an</w:t>
      </w:r>
      <w:r w:rsidR="002E6037" w:rsidRPr="002561E4">
        <w:rPr>
          <w:color w:val="000000"/>
          <w:szCs w:val="24"/>
          <w:lang w:eastAsia="en-GB"/>
        </w:rPr>
        <w:t xml:space="preserve"> authorised</w:t>
      </w:r>
      <w:r w:rsidR="006870BE" w:rsidRPr="002561E4">
        <w:rPr>
          <w:color w:val="000000"/>
          <w:szCs w:val="24"/>
          <w:lang w:eastAsia="en-GB"/>
        </w:rPr>
        <w:t xml:space="preserve"> person for the purposes of the solemnization of the marriage</w:t>
      </w:r>
      <w:r w:rsidR="00232DAA" w:rsidRPr="002561E4">
        <w:rPr>
          <w:color w:val="000000"/>
          <w:szCs w:val="24"/>
          <w:lang w:eastAsia="en-GB"/>
        </w:rPr>
        <w:t xml:space="preserve">, or able to register the marriage, </w:t>
      </w:r>
      <w:r w:rsidR="00661257" w:rsidRPr="002561E4">
        <w:rPr>
          <w:color w:val="000000"/>
          <w:szCs w:val="24"/>
          <w:lang w:eastAsia="en-GB"/>
        </w:rPr>
        <w:t xml:space="preserve">and that ceremony will not, of itself, be </w:t>
      </w:r>
      <w:r w:rsidR="002403E5" w:rsidRPr="002561E4">
        <w:rPr>
          <w:color w:val="000000"/>
          <w:szCs w:val="24"/>
          <w:lang w:eastAsia="en-GB"/>
        </w:rPr>
        <w:t xml:space="preserve">given legal recognition absent </w:t>
      </w:r>
      <w:r w:rsidR="002C00CC" w:rsidRPr="002561E4">
        <w:rPr>
          <w:color w:val="000000"/>
          <w:szCs w:val="24"/>
          <w:lang w:eastAsia="en-GB"/>
        </w:rPr>
        <w:t xml:space="preserve">the presence of officials </w:t>
      </w:r>
      <w:r w:rsidR="00871AED" w:rsidRPr="002561E4">
        <w:rPr>
          <w:color w:val="000000"/>
          <w:szCs w:val="24"/>
          <w:lang w:eastAsia="en-GB"/>
        </w:rPr>
        <w:t>who</w:t>
      </w:r>
      <w:r w:rsidR="002C00CC" w:rsidRPr="002561E4">
        <w:rPr>
          <w:color w:val="000000"/>
          <w:szCs w:val="24"/>
          <w:lang w:eastAsia="en-GB"/>
        </w:rPr>
        <w:t xml:space="preserve"> need have no connection with humanism.  </w:t>
      </w:r>
    </w:p>
    <w:p w14:paraId="5D9DB6BD" w14:textId="437F3DC5" w:rsidR="000B6851" w:rsidRDefault="00433109" w:rsidP="000768DC">
      <w:pPr>
        <w:pStyle w:val="ParaLevel1"/>
        <w:rPr>
          <w:szCs w:val="24"/>
        </w:rPr>
      </w:pPr>
      <w:r>
        <w:rPr>
          <w:szCs w:val="24"/>
        </w:rPr>
        <w:t>Comparing like with like</w:t>
      </w:r>
      <w:r w:rsidR="00665D57">
        <w:rPr>
          <w:szCs w:val="24"/>
        </w:rPr>
        <w:t xml:space="preserve">, the humanist couple who wish to </w:t>
      </w:r>
      <w:r w:rsidR="00B77369">
        <w:rPr>
          <w:szCs w:val="24"/>
        </w:rPr>
        <w:t xml:space="preserve">have a </w:t>
      </w:r>
      <w:r w:rsidR="00B51F62">
        <w:rPr>
          <w:szCs w:val="24"/>
        </w:rPr>
        <w:t xml:space="preserve">marriage ceremony that </w:t>
      </w:r>
      <w:r w:rsidR="00665D57">
        <w:rPr>
          <w:szCs w:val="24"/>
        </w:rPr>
        <w:t>manifest</w:t>
      </w:r>
      <w:r w:rsidR="00B51F62">
        <w:rPr>
          <w:szCs w:val="24"/>
        </w:rPr>
        <w:t>s</w:t>
      </w:r>
      <w:r w:rsidR="00665D57">
        <w:rPr>
          <w:szCs w:val="24"/>
        </w:rPr>
        <w:t xml:space="preserve"> their belief</w:t>
      </w:r>
      <w:r w:rsidR="00BA199D">
        <w:rPr>
          <w:szCs w:val="24"/>
        </w:rPr>
        <w:t>,</w:t>
      </w:r>
      <w:r w:rsidR="00B51F62">
        <w:rPr>
          <w:szCs w:val="24"/>
        </w:rPr>
        <w:t xml:space="preserve"> in the same way as </w:t>
      </w:r>
      <w:r w:rsidR="00D0026F">
        <w:rPr>
          <w:szCs w:val="24"/>
        </w:rPr>
        <w:t>a</w:t>
      </w:r>
      <w:r w:rsidR="00B51F62">
        <w:rPr>
          <w:szCs w:val="24"/>
        </w:rPr>
        <w:t xml:space="preserve"> religious couple</w:t>
      </w:r>
      <w:r w:rsidR="00C80AB3">
        <w:rPr>
          <w:szCs w:val="24"/>
        </w:rPr>
        <w:t xml:space="preserve"> might do, are </w:t>
      </w:r>
      <w:r w:rsidR="00FB3800">
        <w:rPr>
          <w:szCs w:val="24"/>
        </w:rPr>
        <w:t xml:space="preserve">thus </w:t>
      </w:r>
      <w:r w:rsidR="00C80AB3">
        <w:rPr>
          <w:szCs w:val="24"/>
        </w:rPr>
        <w:t>treated differently</w:t>
      </w:r>
      <w:r w:rsidR="00572D8E">
        <w:rPr>
          <w:szCs w:val="24"/>
        </w:rPr>
        <w:t>:</w:t>
      </w:r>
      <w:r w:rsidR="000B6851">
        <w:rPr>
          <w:szCs w:val="24"/>
        </w:rPr>
        <w:t xml:space="preserve"> </w:t>
      </w:r>
      <w:r w:rsidR="00572D8E">
        <w:rPr>
          <w:szCs w:val="24"/>
        </w:rPr>
        <w:t>unlike their religious comparator</w:t>
      </w:r>
      <w:r w:rsidR="004243C3">
        <w:rPr>
          <w:szCs w:val="24"/>
        </w:rPr>
        <w:t>s</w:t>
      </w:r>
      <w:r w:rsidR="00572D8E">
        <w:rPr>
          <w:szCs w:val="24"/>
        </w:rPr>
        <w:t xml:space="preserve">, </w:t>
      </w:r>
      <w:r w:rsidR="000B6851">
        <w:rPr>
          <w:szCs w:val="24"/>
        </w:rPr>
        <w:t>the conduct of th</w:t>
      </w:r>
      <w:r w:rsidR="00572D8E">
        <w:rPr>
          <w:szCs w:val="24"/>
        </w:rPr>
        <w:t xml:space="preserve">eir marriage </w:t>
      </w:r>
      <w:r w:rsidR="000B6851">
        <w:rPr>
          <w:szCs w:val="24"/>
        </w:rPr>
        <w:t>ceremony</w:t>
      </w:r>
      <w:r w:rsidR="00572D8E">
        <w:rPr>
          <w:szCs w:val="24"/>
        </w:rPr>
        <w:t>,</w:t>
      </w:r>
      <w:r w:rsidR="000B6851">
        <w:rPr>
          <w:szCs w:val="24"/>
        </w:rPr>
        <w:t xml:space="preserve"> according to their </w:t>
      </w:r>
      <w:r w:rsidR="00572D8E">
        <w:rPr>
          <w:szCs w:val="24"/>
        </w:rPr>
        <w:t xml:space="preserve">humanist </w:t>
      </w:r>
      <w:r w:rsidR="000B6851">
        <w:rPr>
          <w:szCs w:val="24"/>
        </w:rPr>
        <w:t xml:space="preserve">beliefs will not </w:t>
      </w:r>
      <w:r w:rsidR="00B85961">
        <w:rPr>
          <w:szCs w:val="24"/>
        </w:rPr>
        <w:t xml:space="preserve">be legally recognised absent the </w:t>
      </w:r>
      <w:r w:rsidR="007036F9">
        <w:rPr>
          <w:szCs w:val="24"/>
        </w:rPr>
        <w:t xml:space="preserve">supervisory </w:t>
      </w:r>
      <w:r w:rsidR="00B85961">
        <w:rPr>
          <w:szCs w:val="24"/>
        </w:rPr>
        <w:t xml:space="preserve">presence of state officials. </w:t>
      </w:r>
      <w:r w:rsidR="00506FA4">
        <w:rPr>
          <w:szCs w:val="24"/>
        </w:rPr>
        <w:t xml:space="preserve"> </w:t>
      </w:r>
    </w:p>
    <w:p w14:paraId="556A0F87" w14:textId="3C52432C" w:rsidR="00E876CB" w:rsidRDefault="00721ED3" w:rsidP="000768DC">
      <w:pPr>
        <w:pStyle w:val="ParaLevel1"/>
        <w:rPr>
          <w:szCs w:val="24"/>
        </w:rPr>
      </w:pPr>
      <w:r>
        <w:rPr>
          <w:szCs w:val="24"/>
        </w:rPr>
        <w:t>That is the</w:t>
      </w:r>
      <w:r w:rsidR="008D7DF3">
        <w:rPr>
          <w:szCs w:val="24"/>
        </w:rPr>
        <w:t xml:space="preserve"> </w:t>
      </w:r>
      <w:r>
        <w:rPr>
          <w:szCs w:val="24"/>
        </w:rPr>
        <w:t xml:space="preserve">difference </w:t>
      </w:r>
      <w:r w:rsidR="00F372CD">
        <w:rPr>
          <w:szCs w:val="24"/>
        </w:rPr>
        <w:t xml:space="preserve">of treatment </w:t>
      </w:r>
      <w:r w:rsidR="008D7DF3">
        <w:rPr>
          <w:szCs w:val="24"/>
        </w:rPr>
        <w:t>at the heart of this claim</w:t>
      </w:r>
      <w:r w:rsidR="005621F3">
        <w:rPr>
          <w:szCs w:val="24"/>
        </w:rPr>
        <w:t>,</w:t>
      </w:r>
      <w:r w:rsidR="004B31A6">
        <w:rPr>
          <w:szCs w:val="24"/>
        </w:rPr>
        <w:t xml:space="preserve"> and I am satisfied that</w:t>
      </w:r>
      <w:r w:rsidR="0023401F">
        <w:rPr>
          <w:szCs w:val="24"/>
        </w:rPr>
        <w:t xml:space="preserve"> it </w:t>
      </w:r>
      <w:r w:rsidR="00C3522E">
        <w:rPr>
          <w:szCs w:val="24"/>
        </w:rPr>
        <w:t xml:space="preserve">is </w:t>
      </w:r>
      <w:r w:rsidR="004B31A6">
        <w:rPr>
          <w:szCs w:val="24"/>
        </w:rPr>
        <w:t xml:space="preserve">a difference of substance, </w:t>
      </w:r>
      <w:r w:rsidR="00C3522E">
        <w:rPr>
          <w:szCs w:val="24"/>
        </w:rPr>
        <w:t>not mere</w:t>
      </w:r>
      <w:r w:rsidR="004B31A6">
        <w:rPr>
          <w:szCs w:val="24"/>
        </w:rPr>
        <w:t xml:space="preserve">ly one of </w:t>
      </w:r>
      <w:r w:rsidR="00C3522E">
        <w:rPr>
          <w:szCs w:val="24"/>
        </w:rPr>
        <w:t>form</w:t>
      </w:r>
      <w:r w:rsidR="00BF0773">
        <w:rPr>
          <w:szCs w:val="24"/>
        </w:rPr>
        <w:t>.</w:t>
      </w:r>
      <w:r w:rsidR="00F54057">
        <w:rPr>
          <w:szCs w:val="24"/>
        </w:rPr>
        <w:t xml:space="preserve"> </w:t>
      </w:r>
      <w:r w:rsidR="00275311">
        <w:rPr>
          <w:szCs w:val="24"/>
        </w:rPr>
        <w:t xml:space="preserve"> </w:t>
      </w:r>
      <w:r w:rsidR="003124B3">
        <w:rPr>
          <w:szCs w:val="24"/>
        </w:rPr>
        <w:t xml:space="preserve">Although </w:t>
      </w:r>
      <w:r w:rsidR="00BA7339">
        <w:rPr>
          <w:szCs w:val="24"/>
        </w:rPr>
        <w:t xml:space="preserve">many of </w:t>
      </w:r>
      <w:r w:rsidR="003124B3">
        <w:rPr>
          <w:szCs w:val="24"/>
        </w:rPr>
        <w:t>the consequences of that difference</w:t>
      </w:r>
      <w:r w:rsidR="00AB5F68">
        <w:rPr>
          <w:szCs w:val="24"/>
        </w:rPr>
        <w:t xml:space="preserve"> -</w:t>
      </w:r>
      <w:r w:rsidR="003124B3">
        <w:rPr>
          <w:szCs w:val="24"/>
        </w:rPr>
        <w:t xml:space="preserve"> such as the additional costs involved</w:t>
      </w:r>
      <w:r w:rsidR="00AB5F68">
        <w:rPr>
          <w:szCs w:val="24"/>
        </w:rPr>
        <w:t xml:space="preserve"> -</w:t>
      </w:r>
      <w:r w:rsidR="0077196B">
        <w:rPr>
          <w:szCs w:val="24"/>
        </w:rPr>
        <w:t xml:space="preserve"> do not give rise to such </w:t>
      </w:r>
      <w:r w:rsidR="00895BCE">
        <w:rPr>
          <w:szCs w:val="24"/>
        </w:rPr>
        <w:t xml:space="preserve">a </w:t>
      </w:r>
      <w:r w:rsidR="0077196B">
        <w:rPr>
          <w:szCs w:val="24"/>
        </w:rPr>
        <w:t xml:space="preserve">fundamental point of principle, they also represent differences of treatment between </w:t>
      </w:r>
      <w:r w:rsidR="00506841">
        <w:rPr>
          <w:szCs w:val="24"/>
        </w:rPr>
        <w:t>the Claimants and their comparators</w:t>
      </w:r>
      <w:r w:rsidR="006E6E78">
        <w:rPr>
          <w:szCs w:val="24"/>
        </w:rPr>
        <w:t xml:space="preserve"> that are more than</w:t>
      </w:r>
      <w:r w:rsidR="006E6E78" w:rsidRPr="00E00221">
        <w:rPr>
          <w:i/>
          <w:iCs/>
          <w:szCs w:val="24"/>
        </w:rPr>
        <w:t xml:space="preserve"> de </w:t>
      </w:r>
      <w:proofErr w:type="spellStart"/>
      <w:r w:rsidR="006E6E78" w:rsidRPr="00E00221">
        <w:rPr>
          <w:i/>
          <w:iCs/>
          <w:szCs w:val="24"/>
        </w:rPr>
        <w:t>minimis</w:t>
      </w:r>
      <w:proofErr w:type="spellEnd"/>
      <w:r w:rsidR="00506841">
        <w:rPr>
          <w:szCs w:val="24"/>
        </w:rPr>
        <w:t>.</w:t>
      </w:r>
      <w:r w:rsidR="00033ECB">
        <w:rPr>
          <w:szCs w:val="24"/>
        </w:rPr>
        <w:t xml:space="preserve">  </w:t>
      </w:r>
    </w:p>
    <w:p w14:paraId="063E9EBA" w14:textId="7A3B1E23" w:rsidR="00B21EDC" w:rsidRDefault="00BD3136" w:rsidP="000768DC">
      <w:pPr>
        <w:pStyle w:val="ParaLevel1"/>
        <w:numPr>
          <w:ilvl w:val="0"/>
          <w:numId w:val="0"/>
        </w:numPr>
        <w:rPr>
          <w:szCs w:val="24"/>
        </w:rPr>
      </w:pPr>
      <w:bookmarkStart w:id="22" w:name="prescribed_ground"/>
      <w:r>
        <w:rPr>
          <w:b/>
          <w:bCs/>
          <w:i/>
          <w:iCs/>
          <w:szCs w:val="24"/>
        </w:rPr>
        <w:t>Prescribed ground</w:t>
      </w:r>
      <w:bookmarkEnd w:id="22"/>
    </w:p>
    <w:p w14:paraId="7ED90A17" w14:textId="641B28EB" w:rsidR="00D71721" w:rsidRPr="00D71721" w:rsidRDefault="003E5602" w:rsidP="000768DC">
      <w:pPr>
        <w:pStyle w:val="ParaLevel1"/>
        <w:rPr>
          <w:szCs w:val="24"/>
        </w:rPr>
      </w:pPr>
      <w:r>
        <w:rPr>
          <w:lang w:eastAsia="en-GB"/>
        </w:rPr>
        <w:t>A</w:t>
      </w:r>
      <w:r w:rsidR="00F8037D">
        <w:rPr>
          <w:lang w:eastAsia="en-GB"/>
        </w:rPr>
        <w:t>lthough a</w:t>
      </w:r>
      <w:r w:rsidR="00CC02D9">
        <w:rPr>
          <w:lang w:eastAsia="en-GB"/>
        </w:rPr>
        <w:t xml:space="preserve">rticle 14 ECHR does not specifically identify “belief” as a prescribed ground, the Defendant </w:t>
      </w:r>
      <w:r w:rsidR="00964783">
        <w:rPr>
          <w:lang w:eastAsia="en-GB"/>
        </w:rPr>
        <w:t xml:space="preserve">accepts </w:t>
      </w:r>
      <w:r w:rsidR="00855B02">
        <w:rPr>
          <w:lang w:eastAsia="en-GB"/>
        </w:rPr>
        <w:t xml:space="preserve">that it must </w:t>
      </w:r>
      <w:r w:rsidR="00B45950">
        <w:rPr>
          <w:lang w:eastAsia="en-GB"/>
        </w:rPr>
        <w:t>fall under the category “other status”.  It is thus common ground that this question is to be answered in the affirmative.</w:t>
      </w:r>
    </w:p>
    <w:p w14:paraId="5284AECD" w14:textId="10136289" w:rsidR="00176DED" w:rsidRPr="00EB29F5" w:rsidRDefault="00D71721" w:rsidP="000768DC">
      <w:pPr>
        <w:pStyle w:val="ParaLevel1"/>
        <w:numPr>
          <w:ilvl w:val="0"/>
          <w:numId w:val="0"/>
        </w:numPr>
        <w:rPr>
          <w:szCs w:val="24"/>
        </w:rPr>
      </w:pPr>
      <w:bookmarkStart w:id="23" w:name="justification"/>
      <w:r w:rsidRPr="003C7B54">
        <w:rPr>
          <w:b/>
          <w:bCs/>
          <w:i/>
          <w:iCs/>
          <w:lang w:eastAsia="en-GB"/>
        </w:rPr>
        <w:t>Justification</w:t>
      </w:r>
      <w:bookmarkEnd w:id="23"/>
      <w:r>
        <w:rPr>
          <w:lang w:eastAsia="en-GB"/>
        </w:rPr>
        <w:t xml:space="preserve"> </w:t>
      </w:r>
      <w:r w:rsidR="00B45950">
        <w:rPr>
          <w:lang w:eastAsia="en-GB"/>
        </w:rPr>
        <w:t xml:space="preserve"> </w:t>
      </w:r>
    </w:p>
    <w:p w14:paraId="18FF3A94" w14:textId="66812E84" w:rsidR="00F863CE" w:rsidRPr="00F863CE" w:rsidRDefault="00F863CE" w:rsidP="000768DC">
      <w:pPr>
        <w:pStyle w:val="ParaLevel1"/>
        <w:numPr>
          <w:ilvl w:val="0"/>
          <w:numId w:val="0"/>
        </w:numPr>
        <w:ind w:left="720" w:hanging="720"/>
        <w:rPr>
          <w:i/>
          <w:iCs/>
          <w:szCs w:val="24"/>
        </w:rPr>
      </w:pPr>
      <w:bookmarkStart w:id="24" w:name="justification_approach"/>
      <w:r w:rsidRPr="00F863CE">
        <w:rPr>
          <w:i/>
          <w:iCs/>
          <w:szCs w:val="24"/>
        </w:rPr>
        <w:t>Approach</w:t>
      </w:r>
    </w:p>
    <w:bookmarkEnd w:id="24"/>
    <w:p w14:paraId="5C43AD93" w14:textId="737BC655" w:rsidR="00834709" w:rsidRPr="00E7073B" w:rsidRDefault="00633EFF" w:rsidP="000768DC">
      <w:pPr>
        <w:pStyle w:val="ParaLevel1"/>
        <w:rPr>
          <w:szCs w:val="24"/>
        </w:rPr>
      </w:pPr>
      <w:r>
        <w:rPr>
          <w:szCs w:val="24"/>
        </w:rPr>
        <w:t>A</w:t>
      </w:r>
      <w:r w:rsidR="00930026">
        <w:rPr>
          <w:szCs w:val="24"/>
        </w:rPr>
        <w:t>t this stage</w:t>
      </w:r>
      <w:r>
        <w:rPr>
          <w:szCs w:val="24"/>
        </w:rPr>
        <w:t>,</w:t>
      </w:r>
      <w:r w:rsidR="00930026">
        <w:rPr>
          <w:szCs w:val="24"/>
        </w:rPr>
        <w:t xml:space="preserve"> the burden of proof shifts to the Defendant</w:t>
      </w:r>
      <w:r w:rsidR="004B2E29">
        <w:rPr>
          <w:szCs w:val="24"/>
        </w:rPr>
        <w:t xml:space="preserve"> to demonstrate that </w:t>
      </w:r>
      <w:r w:rsidR="00930026" w:rsidRPr="005679ED">
        <w:t>the difference in treatment</w:t>
      </w:r>
      <w:r w:rsidR="004B2E29">
        <w:t xml:space="preserve"> established by the Claimants is</w:t>
      </w:r>
      <w:r w:rsidR="00930026" w:rsidRPr="005679ED">
        <w:t xml:space="preserve"> objectively justifiable</w:t>
      </w:r>
      <w:r w:rsidR="00834709">
        <w:t>.</w:t>
      </w:r>
      <w:r w:rsidR="00893296">
        <w:rPr>
          <w:szCs w:val="24"/>
        </w:rPr>
        <w:t xml:space="preserve">  </w:t>
      </w:r>
      <w:r w:rsidR="00984744" w:rsidRPr="00E7073B">
        <w:rPr>
          <w:szCs w:val="24"/>
        </w:rPr>
        <w:t>I</w:t>
      </w:r>
      <w:r w:rsidR="007E135A" w:rsidRPr="00E7073B">
        <w:rPr>
          <w:szCs w:val="24"/>
        </w:rPr>
        <w:t xml:space="preserve">n determining the question of justification under article 14 ECHR, the court is required to apply </w:t>
      </w:r>
      <w:r w:rsidR="00C96CE8" w:rsidRPr="00E7073B">
        <w:rPr>
          <w:szCs w:val="24"/>
        </w:rPr>
        <w:t>a</w:t>
      </w:r>
      <w:r w:rsidR="007E135A" w:rsidRPr="00E7073B">
        <w:rPr>
          <w:szCs w:val="24"/>
        </w:rPr>
        <w:t xml:space="preserve"> fourfold test, as </w:t>
      </w:r>
      <w:r w:rsidR="00395F14" w:rsidRPr="00E7073B">
        <w:rPr>
          <w:szCs w:val="24"/>
        </w:rPr>
        <w:t>explained by Lady Hale, i</w:t>
      </w:r>
      <w:r w:rsidR="00575EF7" w:rsidRPr="00E7073B">
        <w:rPr>
          <w:szCs w:val="24"/>
        </w:rPr>
        <w:t xml:space="preserve">n </w:t>
      </w:r>
      <w:r w:rsidR="00575EF7" w:rsidRPr="00E7073B">
        <w:rPr>
          <w:i/>
        </w:rPr>
        <w:t>R (</w:t>
      </w:r>
      <w:proofErr w:type="spellStart"/>
      <w:r w:rsidR="00575EF7" w:rsidRPr="00E7073B">
        <w:rPr>
          <w:i/>
        </w:rPr>
        <w:t>Tigere</w:t>
      </w:r>
      <w:proofErr w:type="spellEnd"/>
      <w:r w:rsidR="00575EF7" w:rsidRPr="00E7073B">
        <w:rPr>
          <w:i/>
        </w:rPr>
        <w:t>) v. Secretary of State for Business, Innovation and Skills</w:t>
      </w:r>
      <w:r w:rsidR="00575EF7" w:rsidRPr="00575EF7">
        <w:t xml:space="preserve"> [2015] </w:t>
      </w:r>
      <w:proofErr w:type="spellStart"/>
      <w:r w:rsidR="00575EF7" w:rsidRPr="00575EF7">
        <w:t>UKSC</w:t>
      </w:r>
      <w:proofErr w:type="spellEnd"/>
      <w:r w:rsidR="00575EF7" w:rsidRPr="00575EF7">
        <w:t xml:space="preserve"> 57, at </w:t>
      </w:r>
      <w:r w:rsidR="00575EF7">
        <w:t xml:space="preserve">paragraph </w:t>
      </w:r>
      <w:r w:rsidR="00575EF7" w:rsidRPr="00575EF7">
        <w:t>33</w:t>
      </w:r>
      <w:r w:rsidR="00D0681D">
        <w:t>:</w:t>
      </w:r>
    </w:p>
    <w:p w14:paraId="5F935D92" w14:textId="7A960D0C" w:rsidR="00575EF7" w:rsidRPr="00C37911" w:rsidRDefault="00C37911" w:rsidP="000768DC">
      <w:pPr>
        <w:pStyle w:val="Quote"/>
        <w:ind w:left="1701"/>
      </w:pPr>
      <w:r w:rsidRPr="00CA313C">
        <w:t>“</w:t>
      </w:r>
      <w:r w:rsidR="00575EF7" w:rsidRPr="00CA313C">
        <w:t xml:space="preserve">It is now well-established in a series of cases at this level, </w:t>
      </w:r>
      <w:r w:rsidR="004D7BB2" w:rsidRPr="00CA313C">
        <w:rPr>
          <w:sz w:val="22"/>
        </w:rPr>
        <w:t xml:space="preserve">beginning with </w:t>
      </w:r>
      <w:r w:rsidR="004D7BB2" w:rsidRPr="00B277BA">
        <w:rPr>
          <w:i/>
          <w:iCs/>
          <w:sz w:val="22"/>
          <w:u w:color="000000"/>
        </w:rPr>
        <w:t xml:space="preserve">Huang v. </w:t>
      </w:r>
      <w:proofErr w:type="spellStart"/>
      <w:r w:rsidR="004D7BB2" w:rsidRPr="00B277BA">
        <w:rPr>
          <w:i/>
          <w:iCs/>
          <w:sz w:val="22"/>
          <w:u w:color="000000"/>
        </w:rPr>
        <w:t>SSHD</w:t>
      </w:r>
      <w:proofErr w:type="spellEnd"/>
      <w:r w:rsidR="004D7BB2" w:rsidRPr="00CA313C">
        <w:rPr>
          <w:sz w:val="22"/>
        </w:rPr>
        <w:t xml:space="preserve"> [2007] </w:t>
      </w:r>
      <w:proofErr w:type="spellStart"/>
      <w:r w:rsidR="004D7BB2" w:rsidRPr="00CA313C">
        <w:rPr>
          <w:sz w:val="22"/>
        </w:rPr>
        <w:t>UKHL</w:t>
      </w:r>
      <w:proofErr w:type="spellEnd"/>
      <w:r w:rsidR="004D7BB2" w:rsidRPr="00CA313C">
        <w:rPr>
          <w:sz w:val="22"/>
        </w:rPr>
        <w:t xml:space="preserve"> 11, [2007] 2 AC 167, and continuing with </w:t>
      </w:r>
      <w:r w:rsidR="004D7BB2" w:rsidRPr="00B277BA">
        <w:rPr>
          <w:i/>
          <w:iCs/>
          <w:sz w:val="22"/>
          <w:u w:color="000000"/>
        </w:rPr>
        <w:t xml:space="preserve">R (Aguilar </w:t>
      </w:r>
      <w:proofErr w:type="spellStart"/>
      <w:r w:rsidR="004D7BB2" w:rsidRPr="00B277BA">
        <w:rPr>
          <w:i/>
          <w:iCs/>
          <w:sz w:val="22"/>
          <w:u w:color="000000"/>
        </w:rPr>
        <w:t>Quila</w:t>
      </w:r>
      <w:proofErr w:type="spellEnd"/>
      <w:r w:rsidR="004D7BB2" w:rsidRPr="00B277BA">
        <w:rPr>
          <w:i/>
          <w:iCs/>
          <w:sz w:val="22"/>
          <w:u w:color="000000"/>
        </w:rPr>
        <w:t xml:space="preserve">) v </w:t>
      </w:r>
      <w:proofErr w:type="spellStart"/>
      <w:r w:rsidR="004D7BB2" w:rsidRPr="00B277BA">
        <w:rPr>
          <w:i/>
          <w:iCs/>
          <w:sz w:val="22"/>
          <w:u w:color="000000"/>
        </w:rPr>
        <w:t>SSHD</w:t>
      </w:r>
      <w:proofErr w:type="spellEnd"/>
      <w:r w:rsidR="004D7BB2" w:rsidRPr="00B277BA">
        <w:rPr>
          <w:i/>
          <w:iCs/>
          <w:sz w:val="22"/>
          <w:u w:color="000000"/>
        </w:rPr>
        <w:t xml:space="preserve"> (AIRE Centre</w:t>
      </w:r>
      <w:r w:rsidR="004D7BB2" w:rsidRPr="00B277BA">
        <w:rPr>
          <w:i/>
          <w:iCs/>
          <w:sz w:val="22"/>
        </w:rPr>
        <w:t xml:space="preserve"> </w:t>
      </w:r>
      <w:r w:rsidR="004D7BB2" w:rsidRPr="00B277BA">
        <w:rPr>
          <w:i/>
          <w:iCs/>
          <w:sz w:val="22"/>
          <w:u w:color="000000"/>
        </w:rPr>
        <w:lastRenderedPageBreak/>
        <w:t>intervening)</w:t>
      </w:r>
      <w:r w:rsidR="004D7BB2" w:rsidRPr="00CA313C">
        <w:rPr>
          <w:sz w:val="22"/>
        </w:rPr>
        <w:t xml:space="preserve"> [2011] </w:t>
      </w:r>
      <w:proofErr w:type="spellStart"/>
      <w:r w:rsidR="004D7BB2" w:rsidRPr="00CA313C">
        <w:rPr>
          <w:sz w:val="22"/>
        </w:rPr>
        <w:t>UKSC</w:t>
      </w:r>
      <w:proofErr w:type="spellEnd"/>
      <w:r w:rsidR="004D7BB2" w:rsidRPr="00CA313C">
        <w:rPr>
          <w:sz w:val="22"/>
        </w:rPr>
        <w:t xml:space="preserve"> 45, [2012] 1 AC 621, and </w:t>
      </w:r>
      <w:r w:rsidR="004D7BB2" w:rsidRPr="00B277BA">
        <w:rPr>
          <w:i/>
          <w:iCs/>
          <w:sz w:val="22"/>
          <w:u w:color="000000"/>
        </w:rPr>
        <w:t xml:space="preserve">Bank </w:t>
      </w:r>
      <w:proofErr w:type="spellStart"/>
      <w:r w:rsidR="004D7BB2" w:rsidRPr="00B277BA">
        <w:rPr>
          <w:i/>
          <w:iCs/>
          <w:sz w:val="22"/>
          <w:u w:color="000000"/>
        </w:rPr>
        <w:t>Mellat</w:t>
      </w:r>
      <w:proofErr w:type="spellEnd"/>
      <w:r w:rsidR="004D7BB2" w:rsidRPr="00B277BA">
        <w:rPr>
          <w:i/>
          <w:iCs/>
          <w:sz w:val="22"/>
          <w:u w:color="000000"/>
        </w:rPr>
        <w:t xml:space="preserve"> v HM Treasury (No 2)</w:t>
      </w:r>
      <w:r w:rsidR="004D7BB2" w:rsidRPr="00CA313C">
        <w:rPr>
          <w:sz w:val="22"/>
        </w:rPr>
        <w:t xml:space="preserve"> [2013] </w:t>
      </w:r>
      <w:proofErr w:type="spellStart"/>
      <w:r w:rsidR="004D7BB2" w:rsidRPr="00CA313C">
        <w:rPr>
          <w:sz w:val="22"/>
        </w:rPr>
        <w:t>UKSC</w:t>
      </w:r>
      <w:proofErr w:type="spellEnd"/>
      <w:r w:rsidR="004D7BB2" w:rsidRPr="00CA313C">
        <w:rPr>
          <w:sz w:val="22"/>
        </w:rPr>
        <w:t xml:space="preserve"> 39, [2014] AC 700, that the </w:t>
      </w:r>
      <w:r w:rsidR="00575EF7" w:rsidRPr="00C37911">
        <w:t>test for justification is fourfold: (</w:t>
      </w:r>
      <w:proofErr w:type="spellStart"/>
      <w:r w:rsidR="00575EF7" w:rsidRPr="00C37911">
        <w:t>i</w:t>
      </w:r>
      <w:proofErr w:type="spellEnd"/>
      <w:r w:rsidR="00575EF7" w:rsidRPr="00C37911">
        <w:t>) does the measure have a legitimate aim sufficient to justify the limitation of a fundamental right; (ii) is the measure rationally connected to that aim; (iii) could a less intrusive measure have been used; and (iv) bearing in mind the severity of the consequences, the importance of the aim and the extent to which the measure will contribute to that aim, has a fair balance been struck between the rights of the individual and the interests of the community.</w:t>
      </w:r>
      <w:r>
        <w:t>”</w:t>
      </w:r>
      <w:r w:rsidR="00190501">
        <w:t xml:space="preserve">  </w:t>
      </w:r>
    </w:p>
    <w:p w14:paraId="3379A581" w14:textId="41493D1A" w:rsidR="00D002DE" w:rsidRDefault="00DC692A" w:rsidP="000768DC">
      <w:pPr>
        <w:pStyle w:val="ParaLevel1"/>
      </w:pPr>
      <w:r>
        <w:t xml:space="preserve">In assessing whether </w:t>
      </w:r>
      <w:r w:rsidR="0097154B">
        <w:t xml:space="preserve">justification has been shown, </w:t>
      </w:r>
      <w:r w:rsidR="00B34426">
        <w:t xml:space="preserve">the assessment of </w:t>
      </w:r>
      <w:r w:rsidR="0092219E">
        <w:t xml:space="preserve">the balance struck </w:t>
      </w:r>
      <w:r w:rsidR="0036440D">
        <w:t xml:space="preserve">requires justification not of the measure in issue but </w:t>
      </w:r>
      <w:r w:rsidR="00A524CB">
        <w:t>of the difference in treatment between one person or group and another</w:t>
      </w:r>
      <w:r w:rsidR="0038794C">
        <w:t xml:space="preserve">; </w:t>
      </w:r>
      <w:r w:rsidR="00A524CB">
        <w:t xml:space="preserve">see per Lord Bingham of Cornhill </w:t>
      </w:r>
      <w:r w:rsidR="00E6075D">
        <w:t xml:space="preserve">in </w:t>
      </w:r>
      <w:r w:rsidR="00E6075D" w:rsidRPr="0038794C">
        <w:rPr>
          <w:i/>
          <w:iCs/>
        </w:rPr>
        <w:t>A v Secretary of State for the Home Department</w:t>
      </w:r>
      <w:r w:rsidR="00E6075D">
        <w:t xml:space="preserve"> [2005] 2 AC 68 at paragraph 68</w:t>
      </w:r>
      <w:r w:rsidR="009029CC">
        <w:t xml:space="preserve"> and</w:t>
      </w:r>
      <w:r w:rsidR="005C4522">
        <w:t xml:space="preserve">, for a more recent iteration of the point, per Lord Kerr of </w:t>
      </w:r>
      <w:proofErr w:type="spellStart"/>
      <w:r w:rsidR="005C4522">
        <w:t>Tonaghmore</w:t>
      </w:r>
      <w:proofErr w:type="spellEnd"/>
      <w:r w:rsidR="005C4522">
        <w:t xml:space="preserve"> </w:t>
      </w:r>
      <w:proofErr w:type="spellStart"/>
      <w:r w:rsidR="005C4522">
        <w:t>JSC</w:t>
      </w:r>
      <w:proofErr w:type="spellEnd"/>
      <w:r w:rsidR="005C4522">
        <w:t xml:space="preserve"> at paragraph 42 </w:t>
      </w:r>
      <w:r w:rsidR="005C4522" w:rsidRPr="0038794C">
        <w:rPr>
          <w:i/>
          <w:iCs/>
        </w:rPr>
        <w:t>R (</w:t>
      </w:r>
      <w:proofErr w:type="spellStart"/>
      <w:r w:rsidR="00AB4C9D">
        <w:rPr>
          <w:i/>
          <w:iCs/>
        </w:rPr>
        <w:t>oao</w:t>
      </w:r>
      <w:proofErr w:type="spellEnd"/>
      <w:r w:rsidR="00AB4C9D">
        <w:rPr>
          <w:i/>
          <w:iCs/>
        </w:rPr>
        <w:t xml:space="preserve"> </w:t>
      </w:r>
      <w:r w:rsidR="005C4522" w:rsidRPr="0038794C">
        <w:rPr>
          <w:i/>
          <w:iCs/>
        </w:rPr>
        <w:t>Steinfeld) v Secretary of State for Education</w:t>
      </w:r>
      <w:r w:rsidR="005C4522">
        <w:t xml:space="preserve"> </w:t>
      </w:r>
      <w:r w:rsidR="0038794C">
        <w:t>[2020] AC 1):</w:t>
      </w:r>
    </w:p>
    <w:p w14:paraId="4BEB47D5" w14:textId="1A848FA1" w:rsidR="0038794C" w:rsidRDefault="00E87779" w:rsidP="000768DC">
      <w:pPr>
        <w:pStyle w:val="Quote"/>
      </w:pPr>
      <w:r>
        <w:t>“</w:t>
      </w:r>
      <w:r w:rsidR="00072C4D">
        <w:t>To be legitimate, … the aim must address the perpetration of the unequal treatment …</w:t>
      </w:r>
      <w:r>
        <w:t>.”</w:t>
      </w:r>
    </w:p>
    <w:p w14:paraId="3AC647C4" w14:textId="69745ED1" w:rsidR="00065D43" w:rsidRDefault="00E87779" w:rsidP="000768DC">
      <w:pPr>
        <w:pStyle w:val="ParaLevel1"/>
      </w:pPr>
      <w:r>
        <w:t xml:space="preserve">As for the standard that is to be applied, </w:t>
      </w:r>
      <w:r w:rsidR="000E63CC">
        <w:t>f</w:t>
      </w:r>
      <w:r w:rsidR="000B3595">
        <w:t xml:space="preserve">or the Defendant it is submitted that, in assessing </w:t>
      </w:r>
      <w:r w:rsidR="00D53913">
        <w:t xml:space="preserve">proportionality </w:t>
      </w:r>
      <w:r w:rsidR="005716AA">
        <w:t xml:space="preserve">in this case, the test is properly to be characterised as </w:t>
      </w:r>
      <w:r w:rsidR="00535530">
        <w:t xml:space="preserve">raising the question whether the measure is </w:t>
      </w:r>
      <w:r w:rsidR="008E7AA4" w:rsidRPr="00813A33">
        <w:t>“</w:t>
      </w:r>
      <w:r w:rsidR="008E7AA4" w:rsidRPr="00813A33">
        <w:rPr>
          <w:i/>
        </w:rPr>
        <w:t>manifestly without reasonable foundation</w:t>
      </w:r>
      <w:r w:rsidR="008E7AA4" w:rsidRPr="00813A33">
        <w:t>”</w:t>
      </w:r>
      <w:r w:rsidR="00170470">
        <w:t>;</w:t>
      </w:r>
      <w:r w:rsidR="00813A33">
        <w:t xml:space="preserve"> </w:t>
      </w:r>
      <w:r w:rsidR="00170470">
        <w:t>t</w:t>
      </w:r>
      <w:r w:rsidR="00813A33">
        <w:t xml:space="preserve">hat, the Defendant contends, is correct because the context </w:t>
      </w:r>
      <w:r w:rsidR="00065D43">
        <w:t>is one involving issues of social policy</w:t>
      </w:r>
      <w:r w:rsidR="00170470">
        <w:t>, see</w:t>
      </w:r>
      <w:r w:rsidR="00947605" w:rsidRPr="00813A33">
        <w:t xml:space="preserve"> </w:t>
      </w:r>
      <w:r w:rsidR="00947605" w:rsidRPr="00813A33">
        <w:rPr>
          <w:i/>
        </w:rPr>
        <w:t xml:space="preserve">Carson v United Kingdom </w:t>
      </w:r>
      <w:r w:rsidR="00947605" w:rsidRPr="00813A33">
        <w:t xml:space="preserve">(2010) 51 </w:t>
      </w:r>
      <w:proofErr w:type="spellStart"/>
      <w:r w:rsidR="00947605" w:rsidRPr="00813A33">
        <w:t>EHRR</w:t>
      </w:r>
      <w:proofErr w:type="spellEnd"/>
      <w:r w:rsidR="00947605" w:rsidRPr="00813A33">
        <w:t xml:space="preserve"> 13</w:t>
      </w:r>
      <w:r w:rsidR="00170470">
        <w:t xml:space="preserve">, in which </w:t>
      </w:r>
      <w:r w:rsidR="00947605" w:rsidRPr="00813A33">
        <w:t xml:space="preserve">the ECtHR held </w:t>
      </w:r>
      <w:r w:rsidR="00947605">
        <w:t>(at paragraph 61)</w:t>
      </w:r>
      <w:r w:rsidR="00947605" w:rsidRPr="00813A33">
        <w:t xml:space="preserve"> that:</w:t>
      </w:r>
    </w:p>
    <w:p w14:paraId="5CF8B749" w14:textId="5FEFB296" w:rsidR="008E7AA4" w:rsidRDefault="008E7AA4" w:rsidP="000768DC">
      <w:pPr>
        <w:ind w:left="1440" w:right="41"/>
        <w:jc w:val="both"/>
        <w:rPr>
          <w:szCs w:val="20"/>
        </w:rPr>
      </w:pPr>
      <w:r>
        <w:t>“</w:t>
      </w:r>
      <w:r w:rsidRPr="009B2506">
        <w:rPr>
          <w:szCs w:val="20"/>
        </w:rPr>
        <w:t xml:space="preserve">The Contracting State enjoys a margin of appreciation in assessing whether and to what extent differences in otherwise similar situations justify a different treatment </w:t>
      </w:r>
      <w:r w:rsidR="005C5AFD">
        <w:rPr>
          <w:szCs w:val="20"/>
        </w:rPr>
        <w:t>…</w:t>
      </w:r>
      <w:r w:rsidRPr="009B2506">
        <w:rPr>
          <w:szCs w:val="20"/>
        </w:rPr>
        <w:t xml:space="preserve">. The scope of this margin will vary according to the circumstances, the subject-matter and the background. A wide margin is usually allowed to the State under the Convention when it comes to general measures of economic or social strategy. Because of their direct knowledge of their society and its needs, the national authorities are in principle better placed than the international judge to appreciate what is in the public interest on social or economic grounds, and the Court will generally respect the legislature’s policy choice unless it is “manifestly without reasonable foundation” (see </w:t>
      </w:r>
      <w:proofErr w:type="spellStart"/>
      <w:r w:rsidRPr="001A6586">
        <w:rPr>
          <w:i/>
          <w:iCs/>
          <w:szCs w:val="20"/>
        </w:rPr>
        <w:t>Stec</w:t>
      </w:r>
      <w:proofErr w:type="spellEnd"/>
      <w:r w:rsidRPr="001A6586">
        <w:rPr>
          <w:i/>
          <w:iCs/>
          <w:szCs w:val="20"/>
        </w:rPr>
        <w:t xml:space="preserve"> and Others v the United Kingdom</w:t>
      </w:r>
      <w:r w:rsidRPr="009B2506">
        <w:rPr>
          <w:szCs w:val="20"/>
        </w:rPr>
        <w:t xml:space="preserve"> [GC], no. 65731/01 and 65900/01, §52, ECHR 2006-VI).”</w:t>
      </w:r>
    </w:p>
    <w:p w14:paraId="040CB934" w14:textId="2911F18A" w:rsidR="00B61C20" w:rsidRDefault="001A6586" w:rsidP="000768DC">
      <w:pPr>
        <w:pStyle w:val="ParaLevel1"/>
      </w:pPr>
      <w:r>
        <w:t>As the Defendant observes, this is</w:t>
      </w:r>
      <w:r w:rsidR="00DD7AB2">
        <w:t xml:space="preserve"> a test that ha</w:t>
      </w:r>
      <w:r w:rsidR="0002763F">
        <w:t>s</w:t>
      </w:r>
      <w:r w:rsidR="00DD7AB2">
        <w:t xml:space="preserve"> been a</w:t>
      </w:r>
      <w:r w:rsidR="00197FF3">
        <w:t xml:space="preserve">dopted in domestic case-law with approval; </w:t>
      </w:r>
      <w:proofErr w:type="gramStart"/>
      <w:r w:rsidR="00197FF3">
        <w:t>thus</w:t>
      </w:r>
      <w:proofErr w:type="gramEnd"/>
      <w:r w:rsidR="00197FF3">
        <w:t xml:space="preserve"> in </w:t>
      </w:r>
      <w:r w:rsidR="00197FF3">
        <w:rPr>
          <w:i/>
        </w:rPr>
        <w:t xml:space="preserve">DA v </w:t>
      </w:r>
      <w:proofErr w:type="spellStart"/>
      <w:r w:rsidR="00197FF3">
        <w:rPr>
          <w:i/>
        </w:rPr>
        <w:t>SSWP</w:t>
      </w:r>
      <w:proofErr w:type="spellEnd"/>
      <w:r w:rsidR="00197FF3">
        <w:rPr>
          <w:i/>
        </w:rPr>
        <w:t xml:space="preserve"> </w:t>
      </w:r>
      <w:r w:rsidR="00197FF3">
        <w:t xml:space="preserve">[2019] 1 WLR 3289 SC, Lord </w:t>
      </w:r>
      <w:proofErr w:type="spellStart"/>
      <w:r w:rsidR="00197FF3">
        <w:t>Carnwath</w:t>
      </w:r>
      <w:proofErr w:type="spellEnd"/>
      <w:r w:rsidR="00197FF3">
        <w:t xml:space="preserve"> (with whom Lord Reed and Lord Hughes agreed, and with whom Lord Hodge also agreed in relevant part (see paragraph 125)) held </w:t>
      </w:r>
      <w:r w:rsidR="00B61C20">
        <w:t>(see paragraph 118) that</w:t>
      </w:r>
      <w:r w:rsidR="00197FF3">
        <w:t xml:space="preserve"> the </w:t>
      </w:r>
      <w:r w:rsidR="003F3C02">
        <w:t>“</w:t>
      </w:r>
      <w:r w:rsidR="000409B7" w:rsidRPr="009B2506">
        <w:t>manifestly without reasonable foundation</w:t>
      </w:r>
      <w:r w:rsidR="003F3C02">
        <w:t>”</w:t>
      </w:r>
      <w:r w:rsidR="00197FF3">
        <w:t xml:space="preserve"> test is</w:t>
      </w:r>
      <w:r w:rsidR="00B61C20">
        <w:t>:</w:t>
      </w:r>
      <w:r w:rsidR="00197FF3">
        <w:t xml:space="preserve"> </w:t>
      </w:r>
    </w:p>
    <w:p w14:paraId="498814FD" w14:textId="774519B2" w:rsidR="00197FF3" w:rsidRDefault="00197FF3" w:rsidP="000768DC">
      <w:pPr>
        <w:pStyle w:val="Quote"/>
      </w:pPr>
      <w:r>
        <w:t>“</w:t>
      </w:r>
      <w:r w:rsidRPr="00197FF3">
        <w:t>used as a means of allowing the political branches of the constitution an appropriately generous measure of leeway when assessing the proportionality of measures concerning economic and social policy.</w:t>
      </w:r>
      <w:r>
        <w:t>”</w:t>
      </w:r>
    </w:p>
    <w:p w14:paraId="5845CD1B" w14:textId="650C90D2" w:rsidR="00E519E4" w:rsidRDefault="00B61C20" w:rsidP="000768DC">
      <w:pPr>
        <w:pStyle w:val="ParaLevel1"/>
        <w:numPr>
          <w:ilvl w:val="0"/>
          <w:numId w:val="0"/>
        </w:numPr>
        <w:ind w:left="720"/>
      </w:pPr>
      <w:r>
        <w:lastRenderedPageBreak/>
        <w:t xml:space="preserve">See further, </w:t>
      </w:r>
      <w:r w:rsidR="008457D3">
        <w:rPr>
          <w:i/>
        </w:rPr>
        <w:t xml:space="preserve">R (TP) v </w:t>
      </w:r>
      <w:proofErr w:type="spellStart"/>
      <w:r w:rsidR="008457D3">
        <w:rPr>
          <w:i/>
        </w:rPr>
        <w:t>SSWP</w:t>
      </w:r>
      <w:proofErr w:type="spellEnd"/>
      <w:r w:rsidR="008457D3">
        <w:rPr>
          <w:i/>
        </w:rPr>
        <w:t xml:space="preserve"> </w:t>
      </w:r>
      <w:r w:rsidR="008457D3">
        <w:t xml:space="preserve">[2020] </w:t>
      </w:r>
      <w:proofErr w:type="spellStart"/>
      <w:r w:rsidR="008457D3">
        <w:t>EWCA</w:t>
      </w:r>
      <w:proofErr w:type="spellEnd"/>
      <w:r w:rsidR="008457D3">
        <w:t xml:space="preserve"> </w:t>
      </w:r>
      <w:proofErr w:type="spellStart"/>
      <w:r w:rsidR="008457D3">
        <w:t>Civ</w:t>
      </w:r>
      <w:proofErr w:type="spellEnd"/>
      <w:r w:rsidR="008457D3">
        <w:t xml:space="preserve"> 37 </w:t>
      </w:r>
      <w:r w:rsidR="000D1F7D">
        <w:t xml:space="preserve">at paragraph </w:t>
      </w:r>
      <w:r w:rsidR="008457D3">
        <w:t>159</w:t>
      </w:r>
      <w:r w:rsidR="008457D3">
        <w:rPr>
          <w:i/>
        </w:rPr>
        <w:t xml:space="preserve"> </w:t>
      </w:r>
      <w:r w:rsidR="008457D3">
        <w:t xml:space="preserve">(in the </w:t>
      </w:r>
      <w:r w:rsidR="00B4744A">
        <w:t>J</w:t>
      </w:r>
      <w:r w:rsidR="008457D3">
        <w:t xml:space="preserve">udgment of Sir Terence </w:t>
      </w:r>
      <w:proofErr w:type="spellStart"/>
      <w:r w:rsidR="008457D3">
        <w:t>Etherton</w:t>
      </w:r>
      <w:proofErr w:type="spellEnd"/>
      <w:r w:rsidR="008457D3">
        <w:t xml:space="preserve"> MR and Singh LJ)</w:t>
      </w:r>
      <w:r w:rsidR="00B4744A">
        <w:t xml:space="preserve"> and</w:t>
      </w:r>
      <w:r w:rsidR="008457D3">
        <w:t xml:space="preserve"> </w:t>
      </w:r>
      <w:r w:rsidR="008457D3">
        <w:rPr>
          <w:i/>
        </w:rPr>
        <w:t xml:space="preserve">R (Drexler) v Leicestershire County Council </w:t>
      </w:r>
      <w:r w:rsidR="008457D3">
        <w:t xml:space="preserve">[2020] </w:t>
      </w:r>
      <w:proofErr w:type="spellStart"/>
      <w:r w:rsidR="008457D3">
        <w:t>EWCA</w:t>
      </w:r>
      <w:proofErr w:type="spellEnd"/>
      <w:r w:rsidR="008457D3">
        <w:t xml:space="preserve"> </w:t>
      </w:r>
      <w:proofErr w:type="spellStart"/>
      <w:r w:rsidR="008457D3">
        <w:t>Civ</w:t>
      </w:r>
      <w:proofErr w:type="spellEnd"/>
      <w:r w:rsidR="008457D3">
        <w:t xml:space="preserve"> 502</w:t>
      </w:r>
      <w:r w:rsidR="00B4744A">
        <w:t>.</w:t>
      </w:r>
    </w:p>
    <w:p w14:paraId="73F0F3A3" w14:textId="64184CAF" w:rsidR="008457D3" w:rsidRPr="007C4EAA" w:rsidRDefault="00741223" w:rsidP="000768DC">
      <w:pPr>
        <w:pStyle w:val="ParaLevel1"/>
      </w:pPr>
      <w:r w:rsidRPr="007C4EAA">
        <w:t xml:space="preserve">Where, as here, the </w:t>
      </w:r>
      <w:r w:rsidR="00032981" w:rsidRPr="007C4EAA">
        <w:t>protected characteristic or status in issue was not “</w:t>
      </w:r>
      <w:r w:rsidR="00032981" w:rsidRPr="003A58C9">
        <w:rPr>
          <w:i/>
          <w:iCs/>
        </w:rPr>
        <w:t>one of the suspect grounds</w:t>
      </w:r>
      <w:r w:rsidR="00032981" w:rsidRPr="007C4EAA">
        <w:t>”</w:t>
      </w:r>
      <w:r w:rsidR="00C749C4">
        <w:t xml:space="preserve"> -</w:t>
      </w:r>
      <w:r w:rsidR="00032981" w:rsidRPr="007C4EAA">
        <w:t xml:space="preserve"> that is</w:t>
      </w:r>
      <w:r w:rsidR="00C749C4">
        <w:t>,</w:t>
      </w:r>
      <w:r w:rsidR="00032981" w:rsidRPr="007C4EAA">
        <w:t xml:space="preserve"> race, sex or sexual orientation</w:t>
      </w:r>
      <w:r w:rsidR="00C749C4">
        <w:t xml:space="preserve"> -</w:t>
      </w:r>
      <w:r w:rsidR="00032981" w:rsidRPr="007C4EAA">
        <w:t xml:space="preserve"> </w:t>
      </w:r>
      <w:r w:rsidR="00593683" w:rsidRPr="007C4EAA">
        <w:t>it was also clear that the test to be applied would be less onerous</w:t>
      </w:r>
      <w:r w:rsidR="00C749C4">
        <w:t>,</w:t>
      </w:r>
      <w:r w:rsidR="00593683" w:rsidRPr="007C4EAA">
        <w:t xml:space="preserve"> </w:t>
      </w:r>
      <w:r w:rsidR="00C749C4">
        <w:t>s</w:t>
      </w:r>
      <w:r w:rsidR="00593683" w:rsidRPr="007C4EAA">
        <w:t xml:space="preserve">ee </w:t>
      </w:r>
      <w:r w:rsidR="00593683" w:rsidRPr="007C4EAA">
        <w:rPr>
          <w:i/>
        </w:rPr>
        <w:t xml:space="preserve">R (Carson) v </w:t>
      </w:r>
      <w:proofErr w:type="spellStart"/>
      <w:r w:rsidR="00593683" w:rsidRPr="007C4EAA">
        <w:rPr>
          <w:i/>
        </w:rPr>
        <w:t>SSWP</w:t>
      </w:r>
      <w:proofErr w:type="spellEnd"/>
      <w:r w:rsidR="00593683" w:rsidRPr="007C4EAA">
        <w:t xml:space="preserve"> [2006] 1 </w:t>
      </w:r>
      <w:proofErr w:type="spellStart"/>
      <w:r w:rsidR="00593683" w:rsidRPr="007C4EAA">
        <w:t>A.C</w:t>
      </w:r>
      <w:proofErr w:type="spellEnd"/>
      <w:r w:rsidR="00593683" w:rsidRPr="007C4EAA">
        <w:t xml:space="preserve">. 173 at </w:t>
      </w:r>
      <w:r w:rsidR="00600DDC">
        <w:t>paragraph 57</w:t>
      </w:r>
      <w:r w:rsidR="00593683" w:rsidRPr="007C4EAA">
        <w:t xml:space="preserve">; </w:t>
      </w:r>
      <w:r w:rsidR="00593683" w:rsidRPr="007C4EAA">
        <w:rPr>
          <w:i/>
        </w:rPr>
        <w:t xml:space="preserve">DA v </w:t>
      </w:r>
      <w:proofErr w:type="spellStart"/>
      <w:r w:rsidR="00593683" w:rsidRPr="007C4EAA">
        <w:rPr>
          <w:i/>
        </w:rPr>
        <w:t>SSWP</w:t>
      </w:r>
      <w:proofErr w:type="spellEnd"/>
      <w:r w:rsidR="00593683" w:rsidRPr="007C4EAA">
        <w:rPr>
          <w:i/>
        </w:rPr>
        <w:t xml:space="preserve"> </w:t>
      </w:r>
      <w:r w:rsidR="00593683" w:rsidRPr="007C4EAA">
        <w:t xml:space="preserve">[2019] 1 WLR 3289 at </w:t>
      </w:r>
      <w:r w:rsidR="000679BB">
        <w:t xml:space="preserve">paragraph </w:t>
      </w:r>
      <w:r w:rsidR="00593683" w:rsidRPr="007C4EAA">
        <w:t xml:space="preserve">114; </w:t>
      </w:r>
      <w:r w:rsidR="00593683" w:rsidRPr="007C4EAA">
        <w:rPr>
          <w:i/>
        </w:rPr>
        <w:t xml:space="preserve">R (TP) v </w:t>
      </w:r>
      <w:proofErr w:type="spellStart"/>
      <w:r w:rsidR="00593683" w:rsidRPr="007C4EAA">
        <w:rPr>
          <w:i/>
        </w:rPr>
        <w:t>SSWP</w:t>
      </w:r>
      <w:proofErr w:type="spellEnd"/>
      <w:r w:rsidR="00593683" w:rsidRPr="007C4EAA">
        <w:rPr>
          <w:i/>
        </w:rPr>
        <w:t xml:space="preserve"> </w:t>
      </w:r>
      <w:r w:rsidR="00593683" w:rsidRPr="007C4EAA">
        <w:t xml:space="preserve">[2020] </w:t>
      </w:r>
      <w:proofErr w:type="spellStart"/>
      <w:r w:rsidR="00593683" w:rsidRPr="007C4EAA">
        <w:t>EWCA</w:t>
      </w:r>
      <w:proofErr w:type="spellEnd"/>
      <w:r w:rsidR="00593683" w:rsidRPr="007C4EAA">
        <w:t xml:space="preserve"> </w:t>
      </w:r>
      <w:proofErr w:type="spellStart"/>
      <w:r w:rsidR="00593683" w:rsidRPr="007C4EAA">
        <w:t>Civ</w:t>
      </w:r>
      <w:proofErr w:type="spellEnd"/>
      <w:r w:rsidR="00593683" w:rsidRPr="007C4EAA">
        <w:t xml:space="preserve"> 37 </w:t>
      </w:r>
      <w:r w:rsidR="000679BB">
        <w:t xml:space="preserve">paragraph </w:t>
      </w:r>
      <w:r w:rsidR="00593683" w:rsidRPr="007C4EAA">
        <w:t>161 (</w:t>
      </w:r>
      <w:r w:rsidR="000679BB">
        <w:t>J</w:t>
      </w:r>
      <w:r w:rsidR="00593683" w:rsidRPr="007C4EAA">
        <w:t xml:space="preserve">udgment of Sir Terence </w:t>
      </w:r>
      <w:proofErr w:type="spellStart"/>
      <w:r w:rsidR="00593683" w:rsidRPr="007C4EAA">
        <w:t>Etherton</w:t>
      </w:r>
      <w:proofErr w:type="spellEnd"/>
      <w:r w:rsidR="00593683" w:rsidRPr="007C4EAA">
        <w:t xml:space="preserve"> MR and Singh LJ); and </w:t>
      </w:r>
      <w:r w:rsidR="00593683" w:rsidRPr="007C4EAA">
        <w:rPr>
          <w:i/>
        </w:rPr>
        <w:t xml:space="preserve">R (Drexler) v Leicestershire County Council </w:t>
      </w:r>
      <w:r w:rsidR="00593683" w:rsidRPr="007C4EAA">
        <w:t xml:space="preserve">[2020] </w:t>
      </w:r>
      <w:proofErr w:type="spellStart"/>
      <w:r w:rsidR="00593683" w:rsidRPr="007C4EAA">
        <w:t>EWCA</w:t>
      </w:r>
      <w:proofErr w:type="spellEnd"/>
      <w:r w:rsidR="00593683" w:rsidRPr="007C4EAA">
        <w:t xml:space="preserve"> </w:t>
      </w:r>
      <w:proofErr w:type="spellStart"/>
      <w:r w:rsidR="00593683" w:rsidRPr="007C4EAA">
        <w:t>Civ</w:t>
      </w:r>
      <w:proofErr w:type="spellEnd"/>
      <w:r w:rsidR="00593683" w:rsidRPr="007C4EAA">
        <w:t xml:space="preserve"> 502 </w:t>
      </w:r>
      <w:r w:rsidR="000679BB">
        <w:t>paragraph</w:t>
      </w:r>
      <w:r w:rsidR="00593683" w:rsidRPr="007C4EAA">
        <w:t xml:space="preserve"> 76.  </w:t>
      </w:r>
    </w:p>
    <w:p w14:paraId="36622FA0" w14:textId="435CC26F" w:rsidR="00944E34" w:rsidRPr="00944E34" w:rsidRDefault="00A43F0C" w:rsidP="000768DC">
      <w:pPr>
        <w:pStyle w:val="ParaLevel1"/>
        <w:rPr>
          <w:szCs w:val="24"/>
          <w:lang w:eastAsia="en-GB"/>
        </w:rPr>
      </w:pPr>
      <w:r>
        <w:t xml:space="preserve">Accepting that this is not a case involving </w:t>
      </w:r>
      <w:r w:rsidR="00944E34">
        <w:t xml:space="preserve">a </w:t>
      </w:r>
      <w:r>
        <w:t xml:space="preserve">“suspect ground”, the Claimants nevertheless </w:t>
      </w:r>
      <w:r w:rsidR="00FC4790">
        <w:t>disagree</w:t>
      </w:r>
      <w:r w:rsidR="00180B5F">
        <w:t xml:space="preserve"> that</w:t>
      </w:r>
      <w:r w:rsidR="003E10F9">
        <w:t xml:space="preserve"> the relevant standard </w:t>
      </w:r>
      <w:r w:rsidR="00A5743F">
        <w:t>is that of</w:t>
      </w:r>
      <w:r w:rsidR="003E10F9">
        <w:t xml:space="preserve"> </w:t>
      </w:r>
      <w:r w:rsidR="00FC4790">
        <w:t>“</w:t>
      </w:r>
      <w:r w:rsidR="003E10F9">
        <w:t>manifestly without reasonable foundation</w:t>
      </w:r>
      <w:r w:rsidR="00FC4790">
        <w:t>”</w:t>
      </w:r>
      <w:r w:rsidR="003E10F9">
        <w:t xml:space="preserve">. </w:t>
      </w:r>
      <w:r w:rsidR="00FC4790">
        <w:t xml:space="preserve"> </w:t>
      </w:r>
      <w:r w:rsidR="00D85708">
        <w:t>Th</w:t>
      </w:r>
      <w:r w:rsidR="00324E37">
        <w:t>ey note that th</w:t>
      </w:r>
      <w:r w:rsidR="00D85708">
        <w:t xml:space="preserve">at was a test laid down at international level, where signatory states </w:t>
      </w:r>
      <w:r w:rsidR="00C829A2">
        <w:t>need to be afforded a margin of appreciation</w:t>
      </w:r>
      <w:r w:rsidR="008B4004">
        <w:t xml:space="preserve">.  </w:t>
      </w:r>
      <w:r w:rsidR="00AF3AEB">
        <w:t xml:space="preserve">Moreover, in the </w:t>
      </w:r>
      <w:r w:rsidR="00C44931">
        <w:t xml:space="preserve">case of </w:t>
      </w:r>
      <w:r w:rsidR="00944E34" w:rsidRPr="00944E34">
        <w:rPr>
          <w:i/>
          <w:iCs/>
        </w:rPr>
        <w:t>JD and A v United Kingdom</w:t>
      </w:r>
      <w:r w:rsidR="00944E34">
        <w:t xml:space="preserve"> (ECtHR Applications Nos 32949/17 and 34614/17) (24 October 2019) </w:t>
      </w:r>
      <w:r w:rsidR="00AF3AEB">
        <w:t xml:space="preserve">at paragraph </w:t>
      </w:r>
      <w:r w:rsidR="00944E34">
        <w:t xml:space="preserve">88, the ECtHR </w:t>
      </w:r>
      <w:r w:rsidR="00C44931">
        <w:t xml:space="preserve">had made clear that, </w:t>
      </w:r>
      <w:r w:rsidR="00944E34">
        <w:t>whilst there is a wide margin of appreciation in the context of general measures of economic or social policy, such measures must not violate the prohibition of discrimination as set out in article 14 and must comply with the requirement for proportionality</w:t>
      </w:r>
      <w:r w:rsidR="00C44931">
        <w:t>, observing</w:t>
      </w:r>
      <w:r w:rsidR="00944E34">
        <w:t>:</w:t>
      </w:r>
    </w:p>
    <w:p w14:paraId="6FC9E05E" w14:textId="77777777" w:rsidR="00944E34" w:rsidRDefault="00944E34" w:rsidP="000768DC">
      <w:pPr>
        <w:pStyle w:val="Quote"/>
      </w:pPr>
      <w:r>
        <w:t xml:space="preserve">"Hence, in that context the Court has limited its acceptance to respect the legislature's policy choice as not 'manifestly without reasonable foundation' to circumstances where an alleged difference in treatment resulted from a transitional measure forming part of a scheme carried out </w:t>
      </w:r>
      <w:proofErr w:type="gramStart"/>
      <w:r>
        <w:t>in order to</w:t>
      </w:r>
      <w:proofErr w:type="gramEnd"/>
      <w:r>
        <w:t xml:space="preserve"> correct inequality…".</w:t>
      </w:r>
    </w:p>
    <w:p w14:paraId="157C1A61" w14:textId="5221567B" w:rsidR="00944E34" w:rsidRDefault="006B4C5A" w:rsidP="000768DC">
      <w:pPr>
        <w:pStyle w:val="ParaLevel1"/>
      </w:pPr>
      <w:r>
        <w:t xml:space="preserve">There is a helpful discussion of the </w:t>
      </w:r>
      <w:r w:rsidR="003F5894">
        <w:t xml:space="preserve">evolution and application of the “manifestly without reasonable foundation” test in </w:t>
      </w:r>
      <w:r w:rsidR="003F5894" w:rsidRPr="00CA24C6">
        <w:rPr>
          <w:i/>
          <w:iCs/>
        </w:rPr>
        <w:t xml:space="preserve">R </w:t>
      </w:r>
      <w:r w:rsidR="007F17E8" w:rsidRPr="00CA24C6">
        <w:rPr>
          <w:i/>
          <w:iCs/>
        </w:rPr>
        <w:t>(</w:t>
      </w:r>
      <w:proofErr w:type="spellStart"/>
      <w:r w:rsidR="007F17E8" w:rsidRPr="00CA24C6">
        <w:rPr>
          <w:i/>
          <w:iCs/>
        </w:rPr>
        <w:t>oao</w:t>
      </w:r>
      <w:proofErr w:type="spellEnd"/>
      <w:r w:rsidR="007F17E8" w:rsidRPr="00CA24C6">
        <w:rPr>
          <w:i/>
          <w:iCs/>
        </w:rPr>
        <w:t xml:space="preserve"> Joint Council for the Welfare of Immigrants</w:t>
      </w:r>
      <w:r w:rsidR="002538EF" w:rsidRPr="00CA24C6">
        <w:rPr>
          <w:i/>
          <w:iCs/>
        </w:rPr>
        <w:t>) v Secretary of State for the Home Department</w:t>
      </w:r>
      <w:r w:rsidR="002538EF">
        <w:t xml:space="preserve"> [2020] </w:t>
      </w:r>
      <w:proofErr w:type="spellStart"/>
      <w:r w:rsidR="002538EF">
        <w:t>EWCA</w:t>
      </w:r>
      <w:proofErr w:type="spellEnd"/>
      <w:r w:rsidR="002538EF">
        <w:t xml:space="preserve"> </w:t>
      </w:r>
      <w:proofErr w:type="spellStart"/>
      <w:r w:rsidR="002538EF">
        <w:t>Civ</w:t>
      </w:r>
      <w:proofErr w:type="spellEnd"/>
      <w:r w:rsidR="002538EF">
        <w:t xml:space="preserve"> 542</w:t>
      </w:r>
      <w:r w:rsidR="003461B3">
        <w:t>, at paragraphs 121-</w:t>
      </w:r>
      <w:r w:rsidR="00713D38">
        <w:t xml:space="preserve">141 of the Judgment of </w:t>
      </w:r>
      <w:proofErr w:type="spellStart"/>
      <w:r w:rsidR="00987B6F">
        <w:t>Hick</w:t>
      </w:r>
      <w:r w:rsidR="00895BCE">
        <w:t>i</w:t>
      </w:r>
      <w:r w:rsidR="00987B6F">
        <w:t>nbottom</w:t>
      </w:r>
      <w:proofErr w:type="spellEnd"/>
      <w:r w:rsidR="00987B6F">
        <w:t xml:space="preserve"> LJ</w:t>
      </w:r>
      <w:r w:rsidR="000F7545">
        <w:t xml:space="preserve"> (Henderson and Davies </w:t>
      </w:r>
      <w:proofErr w:type="spellStart"/>
      <w:r w:rsidR="000F7545">
        <w:t>LJJ</w:t>
      </w:r>
      <w:proofErr w:type="spellEnd"/>
      <w:r w:rsidR="000F7545">
        <w:t xml:space="preserve"> also agreeing with this analysis)</w:t>
      </w:r>
      <w:r w:rsidR="005F3793">
        <w:t xml:space="preserve">, concluding </w:t>
      </w:r>
      <w:r w:rsidR="009C6ADD">
        <w:t xml:space="preserve">as follows: </w:t>
      </w:r>
    </w:p>
    <w:p w14:paraId="5B893C43" w14:textId="5D575822" w:rsidR="00D3733F" w:rsidRDefault="005F3793" w:rsidP="000768DC">
      <w:pPr>
        <w:pStyle w:val="Quote"/>
        <w:rPr>
          <w:szCs w:val="24"/>
          <w:lang w:eastAsia="en-GB"/>
        </w:rPr>
      </w:pPr>
      <w:bookmarkStart w:id="25" w:name="para140"/>
      <w:bookmarkStart w:id="26" w:name="_Hlk46688135"/>
      <w:r>
        <w:t xml:space="preserve">“140. </w:t>
      </w:r>
      <w:r w:rsidR="00D3733F">
        <w:t xml:space="preserve">The manifestly without reasonable foundation criterion, as used domestically, is derived from the Strasbourg court, which, as I have already indicated </w:t>
      </w:r>
      <w:r w:rsidR="005F663F">
        <w:t>…</w:t>
      </w:r>
      <w:r w:rsidR="00D3733F">
        <w:t xml:space="preserve">, generally shies away from formalism. Properly construed, in my view, the criterion cannot simply apply to some cases where there is an issue of justification in respect of a measure involving an element of social or economic policy separated from other cases by a bright line. No such line can sensibly be drawn: the degree of social and economic policy involved in any measure will be infinitely variable. In my view, the criterion simply recognises that, where there is a substantial degree of economic and/or social policy involved in a measure, the degree of deference to the assessment of the democratically-elected or -accountable body that enacts the measure must be accorded great weight because of the wide margin of judgment they have in such matters. The greater the element of economic and/or social policy involved, the greater the margin of judgment and the greater the deference that should </w:t>
      </w:r>
      <w:r w:rsidR="00D3733F">
        <w:lastRenderedPageBreak/>
        <w:t xml:space="preserve">be afforded. That is, for obvious reasons, particularly so when that body is </w:t>
      </w:r>
      <w:r w:rsidR="005C6952">
        <w:t>Parliament</w:t>
      </w:r>
      <w:r w:rsidR="00D3733F">
        <w:t xml:space="preserve">. However, if the measure involves adverse discriminatory effects, that will reduce the margin of judgment and thus the degree of deference. That will be particularly so where the ground of discrimination concerns a core attribute such as sex or race. That, in my respectful view, explains Baroness Hale's observation in </w:t>
      </w:r>
      <w:r w:rsidR="00D3733F" w:rsidRPr="00A97D4D">
        <w:rPr>
          <w:i/>
          <w:iCs/>
        </w:rPr>
        <w:t>Humphreys</w:t>
      </w:r>
      <w:r w:rsidR="00D3733F">
        <w:t xml:space="preserve"> </w:t>
      </w:r>
      <w:r w:rsidR="00A97D4D">
        <w:t>…</w:t>
      </w:r>
      <w:r w:rsidR="00D3733F">
        <w:t>: she could not have meant that, where some element of social or economic policy is concerned, that simply "trumps" any degree of discrimination.</w:t>
      </w:r>
      <w:bookmarkEnd w:id="25"/>
    </w:p>
    <w:p w14:paraId="60B355EF" w14:textId="079E30A6" w:rsidR="00D3733F" w:rsidRDefault="008342F7" w:rsidP="000768DC">
      <w:pPr>
        <w:pStyle w:val="Quote"/>
      </w:pPr>
      <w:bookmarkStart w:id="27" w:name="para141"/>
      <w:r>
        <w:t xml:space="preserve">141. </w:t>
      </w:r>
      <w:r w:rsidR="00D3733F">
        <w:t>If that analysis is right, whether seen in terms of the application of the manifestly without reasonable foundation criterion or simply in terms of the usual balancing exercise inherent in the assessment of proportionality, the result should be the same</w:t>
      </w:r>
      <w:r>
        <w:t xml:space="preserve"> …</w:t>
      </w:r>
      <w:r w:rsidR="00D3733F">
        <w:t>.</w:t>
      </w:r>
      <w:bookmarkEnd w:id="27"/>
      <w:r>
        <w:t>”</w:t>
      </w:r>
      <w:bookmarkEnd w:id="26"/>
    </w:p>
    <w:p w14:paraId="2CB648A5" w14:textId="2602ABB8" w:rsidR="001C75A3" w:rsidRDefault="008B7E5B" w:rsidP="000768DC">
      <w:pPr>
        <w:pStyle w:val="ParaLevel1"/>
      </w:pPr>
      <w:r>
        <w:t>Th</w:t>
      </w:r>
      <w:r w:rsidR="008B724B">
        <w:t>is pa</w:t>
      </w:r>
      <w:r w:rsidR="00895BCE">
        <w:t xml:space="preserve">ssage from the Judgment of </w:t>
      </w:r>
      <w:proofErr w:type="spellStart"/>
      <w:r w:rsidR="00895BCE">
        <w:t>Hicki</w:t>
      </w:r>
      <w:r w:rsidR="008B724B">
        <w:t>nbottom</w:t>
      </w:r>
      <w:proofErr w:type="spellEnd"/>
      <w:r w:rsidR="008B724B">
        <w:t xml:space="preserve"> LJ</w:t>
      </w:r>
      <w:r w:rsidR="00176A0A">
        <w:t xml:space="preserve"> is not only binding on me, </w:t>
      </w:r>
      <w:r w:rsidR="007A0DD6">
        <w:t>I respectfully agree with</w:t>
      </w:r>
      <w:r w:rsidR="00E73A0F">
        <w:t xml:space="preserve"> </w:t>
      </w:r>
      <w:r w:rsidR="007A0DD6">
        <w:t>th</w:t>
      </w:r>
      <w:r w:rsidR="00C86BC3">
        <w:t>at</w:t>
      </w:r>
      <w:r w:rsidR="007A0DD6">
        <w:t xml:space="preserve"> analysis</w:t>
      </w:r>
      <w:r w:rsidR="00D85BBF">
        <w:t xml:space="preserve">.  Having thus clarified the approach I should adopt, I now turn to </w:t>
      </w:r>
      <w:r w:rsidR="000B44D1">
        <w:t xml:space="preserve">its application in this case. </w:t>
      </w:r>
    </w:p>
    <w:p w14:paraId="44FCF014" w14:textId="0F75D608" w:rsidR="001134D1" w:rsidRPr="001134D1" w:rsidRDefault="001134D1" w:rsidP="000768DC">
      <w:pPr>
        <w:pStyle w:val="ParaLevel1"/>
        <w:numPr>
          <w:ilvl w:val="0"/>
          <w:numId w:val="0"/>
        </w:numPr>
        <w:rPr>
          <w:i/>
          <w:iCs/>
        </w:rPr>
      </w:pPr>
      <w:bookmarkStart w:id="28" w:name="lgitmte_aim_nd_rational_connction"/>
      <w:r w:rsidRPr="001134D1">
        <w:rPr>
          <w:i/>
          <w:iCs/>
        </w:rPr>
        <w:t>Legitimate Aim</w:t>
      </w:r>
      <w:r w:rsidR="00940A15">
        <w:rPr>
          <w:i/>
          <w:iCs/>
        </w:rPr>
        <w:t xml:space="preserve"> and Rational Connection</w:t>
      </w:r>
      <w:bookmarkEnd w:id="28"/>
    </w:p>
    <w:p w14:paraId="4F2B520F" w14:textId="7B57CBAF" w:rsidR="00F71295" w:rsidRPr="00DB620D" w:rsidRDefault="000179BA" w:rsidP="000768DC">
      <w:pPr>
        <w:pStyle w:val="ParaLevel1"/>
        <w:rPr>
          <w:szCs w:val="24"/>
        </w:rPr>
      </w:pPr>
      <w:r w:rsidRPr="00DB620D">
        <w:rPr>
          <w:szCs w:val="24"/>
        </w:rPr>
        <w:t>In seeking to</w:t>
      </w:r>
      <w:r w:rsidR="00F71295" w:rsidRPr="00DB620D">
        <w:rPr>
          <w:szCs w:val="24"/>
        </w:rPr>
        <w:t xml:space="preserve"> demonstrate that the difference in treatment between the Claimants and their religious comparators is justified, the Defendant </w:t>
      </w:r>
      <w:r w:rsidR="004E29E0" w:rsidRPr="00DB620D">
        <w:rPr>
          <w:szCs w:val="24"/>
        </w:rPr>
        <w:t xml:space="preserve">relies on </w:t>
      </w:r>
      <w:r w:rsidR="0057597B" w:rsidRPr="00DB620D">
        <w:rPr>
          <w:szCs w:val="24"/>
        </w:rPr>
        <w:t xml:space="preserve">the following </w:t>
      </w:r>
      <w:r w:rsidR="004E29E0" w:rsidRPr="00DB620D">
        <w:rPr>
          <w:szCs w:val="24"/>
        </w:rPr>
        <w:t>three</w:t>
      </w:r>
      <w:r w:rsidR="0057597B" w:rsidRPr="00DB620D">
        <w:rPr>
          <w:szCs w:val="24"/>
        </w:rPr>
        <w:t xml:space="preserve"> matters</w:t>
      </w:r>
      <w:r w:rsidR="0039493F" w:rsidRPr="00DB620D">
        <w:rPr>
          <w:szCs w:val="24"/>
        </w:rPr>
        <w:t xml:space="preserve"> </w:t>
      </w:r>
      <w:r w:rsidR="007A006F" w:rsidRPr="00DB620D">
        <w:rPr>
          <w:szCs w:val="24"/>
        </w:rPr>
        <w:t xml:space="preserve">as </w:t>
      </w:r>
      <w:r w:rsidR="00AE0E75" w:rsidRPr="00DB620D">
        <w:rPr>
          <w:szCs w:val="24"/>
        </w:rPr>
        <w:t xml:space="preserve">constituting </w:t>
      </w:r>
      <w:r w:rsidR="00F71295" w:rsidRPr="00DB620D">
        <w:rPr>
          <w:szCs w:val="24"/>
        </w:rPr>
        <w:t>legitimate aims</w:t>
      </w:r>
      <w:r w:rsidR="00BD6F48" w:rsidRPr="00DB620D">
        <w:rPr>
          <w:szCs w:val="24"/>
        </w:rPr>
        <w:t xml:space="preserve"> (see the </w:t>
      </w:r>
      <w:r w:rsidR="00BD6F48" w:rsidRPr="00DB620D">
        <w:rPr>
          <w:color w:val="000000"/>
          <w:szCs w:val="24"/>
          <w:lang w:eastAsia="en-GB"/>
        </w:rPr>
        <w:t>Detailed Grounds of Defence paragraphs 56-58).</w:t>
      </w:r>
      <w:r w:rsidR="00F71295" w:rsidRPr="00DB620D">
        <w:rPr>
          <w:szCs w:val="24"/>
        </w:rPr>
        <w:t xml:space="preserve"> </w:t>
      </w:r>
    </w:p>
    <w:p w14:paraId="4E0A5880" w14:textId="28BF636E" w:rsidR="00110F64" w:rsidRPr="00DB620D" w:rsidRDefault="00C30899" w:rsidP="000768DC">
      <w:pPr>
        <w:pStyle w:val="ParaLevel1"/>
        <w:rPr>
          <w:szCs w:val="24"/>
        </w:rPr>
      </w:pPr>
      <w:r w:rsidRPr="00DB620D">
        <w:rPr>
          <w:szCs w:val="24"/>
        </w:rPr>
        <w:t>First</w:t>
      </w:r>
      <w:r w:rsidR="00B57F18" w:rsidRPr="00DB620D">
        <w:rPr>
          <w:szCs w:val="24"/>
        </w:rPr>
        <w:t xml:space="preserve">, </w:t>
      </w:r>
      <w:r w:rsidR="00CC33F1">
        <w:rPr>
          <w:szCs w:val="24"/>
        </w:rPr>
        <w:t>it is said</w:t>
      </w:r>
      <w:r w:rsidR="00B57F18" w:rsidRPr="00DB620D">
        <w:rPr>
          <w:szCs w:val="24"/>
        </w:rPr>
        <w:t xml:space="preserve"> that</w:t>
      </w:r>
      <w:r w:rsidR="00097CA9" w:rsidRPr="00DB620D">
        <w:rPr>
          <w:szCs w:val="24"/>
        </w:rPr>
        <w:t xml:space="preserve"> the aim of the system of marriage under English law (in broad terms, provid</w:t>
      </w:r>
      <w:r w:rsidR="001C50FB" w:rsidRPr="00DB620D">
        <w:rPr>
          <w:szCs w:val="24"/>
        </w:rPr>
        <w:t>ing</w:t>
      </w:r>
      <w:r w:rsidR="00097CA9" w:rsidRPr="00DB620D">
        <w:rPr>
          <w:szCs w:val="24"/>
        </w:rPr>
        <w:t xml:space="preserve"> for </w:t>
      </w:r>
      <w:r w:rsidRPr="00DB620D">
        <w:rPr>
          <w:color w:val="000000"/>
          <w:szCs w:val="24"/>
          <w:lang w:eastAsia="en-GB"/>
        </w:rPr>
        <w:t>(</w:t>
      </w:r>
      <w:proofErr w:type="spellStart"/>
      <w:r w:rsidR="005F451A" w:rsidRPr="00DB620D">
        <w:rPr>
          <w:color w:val="000000"/>
          <w:szCs w:val="24"/>
          <w:lang w:eastAsia="en-GB"/>
        </w:rPr>
        <w:t>i</w:t>
      </w:r>
      <w:proofErr w:type="spellEnd"/>
      <w:r w:rsidRPr="00DB620D">
        <w:rPr>
          <w:color w:val="000000"/>
          <w:szCs w:val="24"/>
          <w:lang w:eastAsia="en-GB"/>
        </w:rPr>
        <w:t>) marriage ceremonies for those of a variety of religious beliefs</w:t>
      </w:r>
      <w:r w:rsidR="001C50FB" w:rsidRPr="00DB620D">
        <w:rPr>
          <w:color w:val="000000"/>
          <w:szCs w:val="24"/>
          <w:lang w:eastAsia="en-GB"/>
        </w:rPr>
        <w:t>,</w:t>
      </w:r>
      <w:r w:rsidRPr="00DB620D">
        <w:rPr>
          <w:color w:val="000000"/>
          <w:szCs w:val="24"/>
          <w:lang w:eastAsia="en-GB"/>
        </w:rPr>
        <w:t xml:space="preserve"> and (</w:t>
      </w:r>
      <w:r w:rsidR="005F451A" w:rsidRPr="00DB620D">
        <w:rPr>
          <w:color w:val="000000"/>
          <w:szCs w:val="24"/>
          <w:lang w:eastAsia="en-GB"/>
        </w:rPr>
        <w:t>ii</w:t>
      </w:r>
      <w:r w:rsidRPr="00DB620D">
        <w:rPr>
          <w:color w:val="000000"/>
          <w:szCs w:val="24"/>
          <w:lang w:eastAsia="en-GB"/>
        </w:rPr>
        <w:t>) civil marriage ceremonies for those wishing to marry by a non-religious ceremony</w:t>
      </w:r>
      <w:r w:rsidR="001C50FB" w:rsidRPr="00DB620D">
        <w:rPr>
          <w:color w:val="000000"/>
          <w:szCs w:val="24"/>
          <w:lang w:eastAsia="en-GB"/>
        </w:rPr>
        <w:t>)</w:t>
      </w:r>
      <w:r w:rsidR="00110F64" w:rsidRPr="00DB620D">
        <w:rPr>
          <w:color w:val="000000"/>
          <w:szCs w:val="24"/>
          <w:lang w:eastAsia="en-GB"/>
        </w:rPr>
        <w:t xml:space="preserve"> “</w:t>
      </w:r>
      <w:r w:rsidRPr="00DB620D">
        <w:rPr>
          <w:i/>
          <w:iCs/>
          <w:color w:val="000000"/>
          <w:szCs w:val="24"/>
          <w:lang w:eastAsia="en-GB"/>
        </w:rPr>
        <w:t xml:space="preserve">is to recognise the special place of marriage and of </w:t>
      </w:r>
      <w:proofErr w:type="gramStart"/>
      <w:r w:rsidRPr="00DB620D">
        <w:rPr>
          <w:i/>
          <w:iCs/>
          <w:color w:val="000000"/>
          <w:szCs w:val="24"/>
          <w:lang w:eastAsia="en-GB"/>
        </w:rPr>
        <w:t>particular marriage</w:t>
      </w:r>
      <w:proofErr w:type="gramEnd"/>
      <w:r w:rsidRPr="00DB620D">
        <w:rPr>
          <w:i/>
          <w:iCs/>
          <w:color w:val="000000"/>
          <w:szCs w:val="24"/>
          <w:lang w:eastAsia="en-GB"/>
        </w:rPr>
        <w:t xml:space="preserve"> ceremonies to the religions in question</w:t>
      </w:r>
      <w:r w:rsidR="00110F64" w:rsidRPr="00DB620D">
        <w:rPr>
          <w:color w:val="000000"/>
          <w:szCs w:val="24"/>
          <w:lang w:eastAsia="en-GB"/>
        </w:rPr>
        <w:t>”</w:t>
      </w:r>
      <w:r w:rsidR="00F33427" w:rsidRPr="00DB620D">
        <w:rPr>
          <w:color w:val="000000"/>
          <w:szCs w:val="24"/>
          <w:lang w:eastAsia="en-GB"/>
        </w:rPr>
        <w:t xml:space="preserve"> (Detailed Grounds of Defence, paragraph 56)</w:t>
      </w:r>
      <w:r w:rsidRPr="00DB620D">
        <w:rPr>
          <w:color w:val="000000"/>
          <w:szCs w:val="24"/>
          <w:lang w:eastAsia="en-GB"/>
        </w:rPr>
        <w:t xml:space="preserve">. </w:t>
      </w:r>
    </w:p>
    <w:p w14:paraId="1D5FC8DF" w14:textId="43462441" w:rsidR="00B953FE" w:rsidRPr="00DB620D" w:rsidRDefault="00C30899" w:rsidP="000768DC">
      <w:pPr>
        <w:pStyle w:val="ParaLevel1"/>
        <w:rPr>
          <w:szCs w:val="24"/>
        </w:rPr>
      </w:pPr>
      <w:r w:rsidRPr="00DB620D">
        <w:rPr>
          <w:color w:val="000000"/>
          <w:szCs w:val="24"/>
          <w:lang w:eastAsia="en-GB"/>
        </w:rPr>
        <w:t xml:space="preserve">Second, </w:t>
      </w:r>
      <w:r w:rsidR="00BE221E" w:rsidRPr="00DB620D">
        <w:rPr>
          <w:color w:val="000000"/>
          <w:szCs w:val="24"/>
          <w:lang w:eastAsia="en-GB"/>
        </w:rPr>
        <w:t xml:space="preserve">by </w:t>
      </w:r>
      <w:r w:rsidRPr="00DB620D">
        <w:rPr>
          <w:color w:val="000000"/>
          <w:szCs w:val="24"/>
          <w:lang w:eastAsia="en-GB"/>
        </w:rPr>
        <w:t>not amend</w:t>
      </w:r>
      <w:r w:rsidR="00BE221E" w:rsidRPr="00DB620D">
        <w:rPr>
          <w:color w:val="000000"/>
          <w:szCs w:val="24"/>
          <w:lang w:eastAsia="en-GB"/>
        </w:rPr>
        <w:t>ing</w:t>
      </w:r>
      <w:r w:rsidRPr="00DB620D">
        <w:rPr>
          <w:color w:val="000000"/>
          <w:szCs w:val="24"/>
          <w:lang w:eastAsia="en-GB"/>
        </w:rPr>
        <w:t xml:space="preserve"> the law so as to create a separate category of marriage ceremony for those wishing to marry “</w:t>
      </w:r>
      <w:r w:rsidRPr="00DB620D">
        <w:rPr>
          <w:i/>
          <w:color w:val="000000"/>
          <w:szCs w:val="24"/>
          <w:lang w:eastAsia="en-GB"/>
        </w:rPr>
        <w:t>according to the usages of Humanists UK</w:t>
      </w:r>
      <w:r w:rsidRPr="00DB620D">
        <w:rPr>
          <w:color w:val="000000"/>
          <w:szCs w:val="24"/>
          <w:lang w:eastAsia="en-GB"/>
        </w:rPr>
        <w:t>”</w:t>
      </w:r>
      <w:r w:rsidR="00BE221E" w:rsidRPr="00DB620D">
        <w:rPr>
          <w:color w:val="000000"/>
          <w:szCs w:val="24"/>
          <w:lang w:eastAsia="en-GB"/>
        </w:rPr>
        <w:t xml:space="preserve">, </w:t>
      </w:r>
      <w:r w:rsidR="00285077" w:rsidRPr="00DB620D">
        <w:rPr>
          <w:color w:val="000000"/>
          <w:szCs w:val="24"/>
          <w:lang w:eastAsia="en-GB"/>
        </w:rPr>
        <w:t xml:space="preserve">it is said that </w:t>
      </w:r>
      <w:r w:rsidR="006D47F6" w:rsidRPr="00DB620D">
        <w:rPr>
          <w:color w:val="000000"/>
          <w:szCs w:val="24"/>
          <w:lang w:eastAsia="en-GB"/>
        </w:rPr>
        <w:t xml:space="preserve">the Defendant is </w:t>
      </w:r>
      <w:r w:rsidR="00E776B2">
        <w:rPr>
          <w:color w:val="000000"/>
          <w:szCs w:val="24"/>
          <w:lang w:eastAsia="en-GB"/>
        </w:rPr>
        <w:t>pursuing</w:t>
      </w:r>
      <w:r w:rsidR="006D47F6" w:rsidRPr="00DB620D">
        <w:rPr>
          <w:color w:val="000000"/>
          <w:szCs w:val="24"/>
          <w:lang w:eastAsia="en-GB"/>
        </w:rPr>
        <w:t xml:space="preserve"> the legitimate aim of avoiding</w:t>
      </w:r>
      <w:r w:rsidR="0005267A">
        <w:rPr>
          <w:color w:val="000000"/>
          <w:szCs w:val="24"/>
          <w:lang w:eastAsia="en-GB"/>
        </w:rPr>
        <w:t xml:space="preserve"> the introduction of</w:t>
      </w:r>
      <w:r w:rsidR="006D47F6" w:rsidRPr="00DB620D">
        <w:rPr>
          <w:color w:val="000000"/>
          <w:szCs w:val="24"/>
          <w:lang w:eastAsia="en-GB"/>
        </w:rPr>
        <w:t xml:space="preserve"> </w:t>
      </w:r>
      <w:r w:rsidR="005F451A" w:rsidRPr="00DB620D">
        <w:rPr>
          <w:color w:val="000000"/>
          <w:szCs w:val="24"/>
          <w:lang w:eastAsia="en-GB"/>
        </w:rPr>
        <w:t>(</w:t>
      </w:r>
      <w:proofErr w:type="spellStart"/>
      <w:r w:rsidR="005F451A" w:rsidRPr="00DB620D">
        <w:rPr>
          <w:color w:val="000000"/>
          <w:szCs w:val="24"/>
          <w:lang w:eastAsia="en-GB"/>
        </w:rPr>
        <w:t>i</w:t>
      </w:r>
      <w:proofErr w:type="spellEnd"/>
      <w:r w:rsidR="005F451A" w:rsidRPr="00DB620D">
        <w:rPr>
          <w:color w:val="000000"/>
          <w:szCs w:val="24"/>
          <w:lang w:eastAsia="en-GB"/>
        </w:rPr>
        <w:t xml:space="preserve">) </w:t>
      </w:r>
      <w:r w:rsidRPr="00DB620D">
        <w:rPr>
          <w:color w:val="000000"/>
          <w:szCs w:val="24"/>
          <w:lang w:eastAsia="en-GB"/>
        </w:rPr>
        <w:t>further complexity into an already complex marriage system</w:t>
      </w:r>
      <w:r w:rsidR="0085326C" w:rsidRPr="00DB620D">
        <w:rPr>
          <w:color w:val="000000"/>
          <w:szCs w:val="24"/>
          <w:lang w:eastAsia="en-GB"/>
        </w:rPr>
        <w:t>,</w:t>
      </w:r>
      <w:r w:rsidRPr="00DB620D">
        <w:rPr>
          <w:color w:val="000000"/>
          <w:szCs w:val="24"/>
          <w:lang w:eastAsia="en-GB"/>
        </w:rPr>
        <w:t xml:space="preserve"> and </w:t>
      </w:r>
      <w:r w:rsidR="0085326C" w:rsidRPr="00DB620D">
        <w:rPr>
          <w:color w:val="000000"/>
          <w:szCs w:val="24"/>
          <w:lang w:eastAsia="en-GB"/>
        </w:rPr>
        <w:t xml:space="preserve">(ii) </w:t>
      </w:r>
      <w:r w:rsidR="006F0C50" w:rsidRPr="00DB620D">
        <w:rPr>
          <w:color w:val="000000"/>
          <w:szCs w:val="24"/>
          <w:lang w:eastAsia="en-GB"/>
        </w:rPr>
        <w:t xml:space="preserve">a new species of discrimination </w:t>
      </w:r>
      <w:r w:rsidR="00B953FE" w:rsidRPr="00DB620D">
        <w:rPr>
          <w:color w:val="000000"/>
          <w:szCs w:val="24"/>
          <w:lang w:eastAsia="en-GB"/>
        </w:rPr>
        <w:t xml:space="preserve">as between </w:t>
      </w:r>
      <w:r w:rsidR="0085326C" w:rsidRPr="00DB620D">
        <w:rPr>
          <w:color w:val="000000"/>
          <w:szCs w:val="24"/>
          <w:lang w:eastAsia="en-GB"/>
        </w:rPr>
        <w:t xml:space="preserve">(a) </w:t>
      </w:r>
      <w:r w:rsidR="006F0C50" w:rsidRPr="00DB620D">
        <w:rPr>
          <w:color w:val="000000"/>
          <w:szCs w:val="24"/>
          <w:lang w:eastAsia="en-GB"/>
        </w:rPr>
        <w:t>humanists and members of religions who are restricted to their registered place of worship</w:t>
      </w:r>
      <w:r w:rsidR="0085326C" w:rsidRPr="00DB620D">
        <w:rPr>
          <w:color w:val="000000"/>
          <w:szCs w:val="24"/>
          <w:lang w:eastAsia="en-GB"/>
        </w:rPr>
        <w:t xml:space="preserve">, and (b) </w:t>
      </w:r>
      <w:r w:rsidR="00B953FE" w:rsidRPr="00DB620D">
        <w:rPr>
          <w:color w:val="000000"/>
          <w:szCs w:val="24"/>
          <w:lang w:eastAsia="en-GB"/>
        </w:rPr>
        <w:t xml:space="preserve">humanists and non-humanists who marry by civil marriage ceremony. </w:t>
      </w:r>
      <w:r w:rsidR="00BD6F48" w:rsidRPr="00DB620D">
        <w:rPr>
          <w:color w:val="000000"/>
          <w:szCs w:val="24"/>
          <w:lang w:eastAsia="en-GB"/>
        </w:rPr>
        <w:t>(Detailed Grounds of Defence paragraph 57)</w:t>
      </w:r>
    </w:p>
    <w:p w14:paraId="155080DF" w14:textId="34A56BD9" w:rsidR="0090750A" w:rsidRPr="00DB620D" w:rsidRDefault="00361BC7" w:rsidP="000768DC">
      <w:pPr>
        <w:pStyle w:val="ParaLevel1"/>
        <w:rPr>
          <w:szCs w:val="24"/>
        </w:rPr>
      </w:pPr>
      <w:r w:rsidRPr="00DB620D">
        <w:rPr>
          <w:color w:val="000000"/>
          <w:szCs w:val="24"/>
          <w:lang w:eastAsia="en-GB"/>
        </w:rPr>
        <w:t>Third</w:t>
      </w:r>
      <w:r w:rsidR="0071473C" w:rsidRPr="00DB620D">
        <w:rPr>
          <w:color w:val="000000"/>
          <w:szCs w:val="24"/>
          <w:lang w:eastAsia="en-GB"/>
        </w:rPr>
        <w:t xml:space="preserve">, </w:t>
      </w:r>
      <w:r w:rsidR="00F957D8">
        <w:rPr>
          <w:color w:val="000000"/>
          <w:szCs w:val="24"/>
          <w:lang w:eastAsia="en-GB"/>
        </w:rPr>
        <w:t xml:space="preserve">the Defendant contends that </w:t>
      </w:r>
      <w:r w:rsidR="00223811" w:rsidRPr="00DB620D">
        <w:rPr>
          <w:color w:val="000000"/>
          <w:szCs w:val="24"/>
          <w:lang w:eastAsia="en-GB"/>
        </w:rPr>
        <w:t xml:space="preserve">it is a legitimate </w:t>
      </w:r>
      <w:r w:rsidR="00BD6F48" w:rsidRPr="00DB620D">
        <w:rPr>
          <w:color w:val="000000"/>
          <w:szCs w:val="24"/>
          <w:lang w:eastAsia="en-GB"/>
        </w:rPr>
        <w:t xml:space="preserve">aim </w:t>
      </w:r>
      <w:r w:rsidR="00223811" w:rsidRPr="00DB620D">
        <w:rPr>
          <w:color w:val="000000"/>
          <w:szCs w:val="24"/>
          <w:lang w:eastAsia="en-GB"/>
        </w:rPr>
        <w:t>not to</w:t>
      </w:r>
      <w:r w:rsidR="0085676B" w:rsidRPr="00DB620D">
        <w:rPr>
          <w:color w:val="000000"/>
          <w:szCs w:val="24"/>
          <w:lang w:eastAsia="en-GB"/>
        </w:rPr>
        <w:t xml:space="preserve"> wish to</w:t>
      </w:r>
      <w:r w:rsidR="00223811" w:rsidRPr="00DB620D">
        <w:rPr>
          <w:color w:val="000000"/>
          <w:szCs w:val="24"/>
          <w:lang w:eastAsia="en-GB"/>
        </w:rPr>
        <w:t xml:space="preserve"> reform </w:t>
      </w:r>
      <w:r w:rsidR="002765F0" w:rsidRPr="00DB620D">
        <w:rPr>
          <w:color w:val="000000"/>
          <w:szCs w:val="24"/>
          <w:lang w:eastAsia="en-GB"/>
        </w:rPr>
        <w:t xml:space="preserve">the law in a piecemeal fashion when there are </w:t>
      </w:r>
      <w:r w:rsidR="00FD241B" w:rsidRPr="00DB620D">
        <w:rPr>
          <w:color w:val="000000"/>
          <w:szCs w:val="24"/>
          <w:lang w:eastAsia="en-GB"/>
        </w:rPr>
        <w:t>further issues arising in this area of social policy</w:t>
      </w:r>
      <w:r w:rsidR="0023388C" w:rsidRPr="00DB620D">
        <w:rPr>
          <w:color w:val="000000"/>
          <w:szCs w:val="24"/>
          <w:lang w:eastAsia="en-GB"/>
        </w:rPr>
        <w:t xml:space="preserve"> (</w:t>
      </w:r>
      <w:r w:rsidR="00FD241B" w:rsidRPr="00DB620D">
        <w:rPr>
          <w:color w:val="000000"/>
          <w:szCs w:val="24"/>
          <w:lang w:eastAsia="en-GB"/>
        </w:rPr>
        <w:t>presently being considered by the Law Commission</w:t>
      </w:r>
      <w:r w:rsidR="0023388C" w:rsidRPr="00DB620D">
        <w:rPr>
          <w:color w:val="000000"/>
          <w:szCs w:val="24"/>
          <w:lang w:eastAsia="en-GB"/>
        </w:rPr>
        <w:t>).</w:t>
      </w:r>
      <w:r w:rsidR="003E41C1" w:rsidRPr="00DB620D">
        <w:rPr>
          <w:color w:val="000000"/>
          <w:szCs w:val="24"/>
          <w:lang w:eastAsia="en-GB"/>
        </w:rPr>
        <w:t xml:space="preserve"> </w:t>
      </w:r>
      <w:r w:rsidR="003E41C1" w:rsidRPr="00DB620D">
        <w:rPr>
          <w:szCs w:val="24"/>
        </w:rPr>
        <w:t xml:space="preserve"> </w:t>
      </w:r>
      <w:r w:rsidR="003E41C1" w:rsidRPr="00DB620D">
        <w:rPr>
          <w:szCs w:val="24"/>
          <w:lang w:eastAsia="en-GB"/>
        </w:rPr>
        <w:t xml:space="preserve">In this regard, the Defendant submits that the present context is one in which the Government and then </w:t>
      </w:r>
      <w:r w:rsidR="005C6952">
        <w:rPr>
          <w:szCs w:val="24"/>
          <w:lang w:eastAsia="en-GB"/>
        </w:rPr>
        <w:t>Parliament</w:t>
      </w:r>
      <w:r w:rsidR="003E41C1" w:rsidRPr="00DB620D">
        <w:rPr>
          <w:szCs w:val="24"/>
          <w:lang w:eastAsia="en-GB"/>
        </w:rPr>
        <w:t xml:space="preserve"> should be allowed time to “</w:t>
      </w:r>
      <w:r w:rsidR="003E41C1" w:rsidRPr="00DB620D">
        <w:rPr>
          <w:i/>
          <w:szCs w:val="24"/>
          <w:lang w:eastAsia="en-GB"/>
        </w:rPr>
        <w:t>reflect on what should be done when one is considering how to deal with an evolving societal attitude…</w:t>
      </w:r>
      <w:r w:rsidR="003E41C1" w:rsidRPr="00DB620D">
        <w:rPr>
          <w:szCs w:val="24"/>
          <w:lang w:eastAsia="en-GB"/>
        </w:rPr>
        <w:t>” (</w:t>
      </w:r>
      <w:r w:rsidR="00A324C2">
        <w:rPr>
          <w:szCs w:val="24"/>
          <w:lang w:eastAsia="en-GB"/>
        </w:rPr>
        <w:t xml:space="preserve">see </w:t>
      </w:r>
      <w:r w:rsidR="00547DFD">
        <w:rPr>
          <w:szCs w:val="24"/>
          <w:lang w:eastAsia="en-GB"/>
        </w:rPr>
        <w:t xml:space="preserve">the Supreme Court’s Judgment in </w:t>
      </w:r>
      <w:r w:rsidR="003E41C1" w:rsidRPr="00DB620D">
        <w:rPr>
          <w:i/>
          <w:szCs w:val="24"/>
          <w:lang w:eastAsia="en-GB"/>
        </w:rPr>
        <w:t>Steinfeld</w:t>
      </w:r>
      <w:r w:rsidR="00547DFD">
        <w:rPr>
          <w:i/>
          <w:szCs w:val="24"/>
          <w:lang w:eastAsia="en-GB"/>
        </w:rPr>
        <w:t>,</w:t>
      </w:r>
      <w:r w:rsidR="00A324C2">
        <w:rPr>
          <w:i/>
          <w:szCs w:val="24"/>
          <w:lang w:eastAsia="en-GB"/>
        </w:rPr>
        <w:t xml:space="preserve"> </w:t>
      </w:r>
      <w:r w:rsidR="00A324C2" w:rsidRPr="00A324C2">
        <w:rPr>
          <w:iCs/>
          <w:szCs w:val="24"/>
          <w:lang w:eastAsia="en-GB"/>
        </w:rPr>
        <w:t>at</w:t>
      </w:r>
      <w:r w:rsidR="003E41C1" w:rsidRPr="00DB620D">
        <w:rPr>
          <w:szCs w:val="24"/>
          <w:lang w:eastAsia="en-GB"/>
        </w:rPr>
        <w:t xml:space="preserve"> </w:t>
      </w:r>
      <w:r w:rsidR="003E5FAF">
        <w:rPr>
          <w:szCs w:val="24"/>
          <w:lang w:eastAsia="en-GB"/>
        </w:rPr>
        <w:t xml:space="preserve">paragraph </w:t>
      </w:r>
      <w:r w:rsidR="003E41C1" w:rsidRPr="00DB620D">
        <w:rPr>
          <w:szCs w:val="24"/>
          <w:lang w:eastAsia="en-GB"/>
        </w:rPr>
        <w:t xml:space="preserve">36). </w:t>
      </w:r>
    </w:p>
    <w:p w14:paraId="1EDC93BC" w14:textId="74E9A42E" w:rsidR="00470D2D" w:rsidRPr="009041BA" w:rsidRDefault="00F33427" w:rsidP="000768DC">
      <w:pPr>
        <w:pStyle w:val="ParaLevel1"/>
        <w:rPr>
          <w:szCs w:val="24"/>
        </w:rPr>
      </w:pPr>
      <w:r w:rsidRPr="009041BA">
        <w:rPr>
          <w:color w:val="000000"/>
          <w:szCs w:val="24"/>
          <w:lang w:eastAsia="en-GB"/>
        </w:rPr>
        <w:lastRenderedPageBreak/>
        <w:t>In respect of the first aim thus identified – to recognise</w:t>
      </w:r>
      <w:r w:rsidR="00470D2D" w:rsidRPr="009041BA">
        <w:rPr>
          <w:color w:val="000000"/>
          <w:szCs w:val="24"/>
          <w:lang w:eastAsia="en-GB"/>
        </w:rPr>
        <w:t xml:space="preserve"> the special place of marriage</w:t>
      </w:r>
      <w:r w:rsidR="008E3B1E" w:rsidRPr="009041BA">
        <w:rPr>
          <w:color w:val="000000"/>
          <w:szCs w:val="24"/>
          <w:lang w:eastAsia="en-GB"/>
        </w:rPr>
        <w:t>,</w:t>
      </w:r>
      <w:r w:rsidR="00470D2D" w:rsidRPr="009041BA">
        <w:rPr>
          <w:color w:val="000000"/>
          <w:szCs w:val="24"/>
          <w:lang w:eastAsia="en-GB"/>
        </w:rPr>
        <w:t xml:space="preserve"> and of </w:t>
      </w:r>
      <w:proofErr w:type="gramStart"/>
      <w:r w:rsidR="00470D2D" w:rsidRPr="009041BA">
        <w:rPr>
          <w:color w:val="000000"/>
          <w:szCs w:val="24"/>
          <w:lang w:eastAsia="en-GB"/>
        </w:rPr>
        <w:t>particular marriage</w:t>
      </w:r>
      <w:proofErr w:type="gramEnd"/>
      <w:r w:rsidR="00470D2D" w:rsidRPr="009041BA">
        <w:rPr>
          <w:color w:val="000000"/>
          <w:szCs w:val="24"/>
          <w:lang w:eastAsia="en-GB"/>
        </w:rPr>
        <w:t xml:space="preserve"> ceremonies</w:t>
      </w:r>
      <w:r w:rsidR="008E3B1E" w:rsidRPr="009041BA">
        <w:rPr>
          <w:color w:val="000000"/>
          <w:szCs w:val="24"/>
          <w:lang w:eastAsia="en-GB"/>
        </w:rPr>
        <w:t>,</w:t>
      </w:r>
      <w:r w:rsidR="00470D2D" w:rsidRPr="009041BA">
        <w:rPr>
          <w:color w:val="000000"/>
          <w:szCs w:val="24"/>
          <w:lang w:eastAsia="en-GB"/>
        </w:rPr>
        <w:t xml:space="preserve"> to the religions in question</w:t>
      </w:r>
      <w:r w:rsidR="000A1AD1" w:rsidRPr="009041BA">
        <w:rPr>
          <w:color w:val="000000"/>
          <w:szCs w:val="24"/>
          <w:lang w:eastAsia="en-GB"/>
        </w:rPr>
        <w:t xml:space="preserve"> – the Claimants object that this cannot be legitimate.  The UK state is not obliged to give any special legal rights or </w:t>
      </w:r>
      <w:r w:rsidR="003E01A8" w:rsidRPr="009041BA">
        <w:rPr>
          <w:color w:val="000000"/>
          <w:szCs w:val="24"/>
          <w:lang w:eastAsia="en-GB"/>
        </w:rPr>
        <w:t>privileges to religious groups in respect of marriage</w:t>
      </w:r>
      <w:r w:rsidR="00437BE0" w:rsidRPr="009041BA">
        <w:rPr>
          <w:color w:val="000000"/>
          <w:szCs w:val="24"/>
          <w:lang w:eastAsia="en-GB"/>
        </w:rPr>
        <w:t xml:space="preserve"> (see </w:t>
      </w:r>
      <w:proofErr w:type="spellStart"/>
      <w:r w:rsidR="00D639DA" w:rsidRPr="009041BA">
        <w:rPr>
          <w:i/>
          <w:iCs/>
          <w:color w:val="000000"/>
          <w:szCs w:val="24"/>
          <w:lang w:eastAsia="en-GB"/>
        </w:rPr>
        <w:t>Savez</w:t>
      </w:r>
      <w:proofErr w:type="spellEnd"/>
      <w:r w:rsidR="00D639DA" w:rsidRPr="009041BA">
        <w:rPr>
          <w:i/>
          <w:iCs/>
          <w:color w:val="000000"/>
          <w:szCs w:val="24"/>
          <w:lang w:eastAsia="en-GB"/>
        </w:rPr>
        <w:t xml:space="preserve"> </w:t>
      </w:r>
      <w:proofErr w:type="spellStart"/>
      <w:r w:rsidR="00D639DA" w:rsidRPr="009041BA">
        <w:rPr>
          <w:i/>
          <w:iCs/>
          <w:color w:val="000000"/>
          <w:szCs w:val="24"/>
          <w:lang w:eastAsia="en-GB"/>
        </w:rPr>
        <w:t>Crkava</w:t>
      </w:r>
      <w:proofErr w:type="spellEnd"/>
      <w:r w:rsidR="00D639DA" w:rsidRPr="009041BA">
        <w:rPr>
          <w:i/>
          <w:iCs/>
          <w:color w:val="000000"/>
          <w:szCs w:val="24"/>
          <w:lang w:eastAsia="en-GB"/>
        </w:rPr>
        <w:t xml:space="preserve"> “</w:t>
      </w:r>
      <w:proofErr w:type="spellStart"/>
      <w:r w:rsidR="00D639DA" w:rsidRPr="009041BA">
        <w:rPr>
          <w:i/>
          <w:iCs/>
          <w:color w:val="000000"/>
          <w:szCs w:val="24"/>
          <w:lang w:eastAsia="en-GB"/>
        </w:rPr>
        <w:t>Rije</w:t>
      </w:r>
      <w:r w:rsidR="00780816" w:rsidRPr="009041BA">
        <w:rPr>
          <w:i/>
          <w:iCs/>
          <w:color w:val="000000"/>
          <w:szCs w:val="24"/>
          <w:lang w:eastAsia="en-GB"/>
        </w:rPr>
        <w:t>č</w:t>
      </w:r>
      <w:proofErr w:type="spellEnd"/>
      <w:r w:rsidR="00780816" w:rsidRPr="009041BA">
        <w:rPr>
          <w:i/>
          <w:iCs/>
          <w:color w:val="000000"/>
          <w:szCs w:val="24"/>
          <w:lang w:eastAsia="en-GB"/>
        </w:rPr>
        <w:t xml:space="preserve"> </w:t>
      </w:r>
      <w:proofErr w:type="spellStart"/>
      <w:r w:rsidR="00232F2E" w:rsidRPr="009041BA">
        <w:rPr>
          <w:i/>
          <w:iCs/>
          <w:color w:val="000000"/>
          <w:szCs w:val="24"/>
          <w:lang w:eastAsia="en-GB"/>
        </w:rPr>
        <w:t>Života</w:t>
      </w:r>
      <w:proofErr w:type="spellEnd"/>
      <w:r w:rsidR="00485117">
        <w:rPr>
          <w:i/>
          <w:iCs/>
          <w:color w:val="000000"/>
          <w:szCs w:val="24"/>
          <w:lang w:eastAsia="en-GB"/>
        </w:rPr>
        <w:t>”</w:t>
      </w:r>
      <w:r w:rsidR="00232F2E" w:rsidRPr="009041BA">
        <w:rPr>
          <w:i/>
          <w:iCs/>
          <w:color w:val="000000"/>
          <w:szCs w:val="24"/>
          <w:lang w:eastAsia="en-GB"/>
        </w:rPr>
        <w:t xml:space="preserve"> v Croatia</w:t>
      </w:r>
      <w:r w:rsidR="00232F2E" w:rsidRPr="009041BA">
        <w:rPr>
          <w:color w:val="000000"/>
          <w:szCs w:val="24"/>
          <w:lang w:eastAsia="en-GB"/>
        </w:rPr>
        <w:t xml:space="preserve"> (2012) 54 </w:t>
      </w:r>
      <w:proofErr w:type="spellStart"/>
      <w:r w:rsidR="00232F2E" w:rsidRPr="009041BA">
        <w:rPr>
          <w:color w:val="000000"/>
          <w:szCs w:val="24"/>
          <w:lang w:eastAsia="en-GB"/>
        </w:rPr>
        <w:t>EHRR</w:t>
      </w:r>
      <w:proofErr w:type="spellEnd"/>
      <w:r w:rsidR="00232F2E" w:rsidRPr="009041BA">
        <w:rPr>
          <w:color w:val="000000"/>
          <w:szCs w:val="24"/>
          <w:lang w:eastAsia="en-GB"/>
        </w:rPr>
        <w:t xml:space="preserve"> 36 at paragraph 56)</w:t>
      </w:r>
      <w:r w:rsidR="003E01A8" w:rsidRPr="009041BA">
        <w:rPr>
          <w:color w:val="000000"/>
          <w:szCs w:val="24"/>
          <w:lang w:eastAsia="en-GB"/>
        </w:rPr>
        <w:t>.  The only obligation (</w:t>
      </w:r>
      <w:r w:rsidR="00DF1FDF" w:rsidRPr="009041BA">
        <w:rPr>
          <w:color w:val="000000"/>
          <w:szCs w:val="24"/>
          <w:lang w:eastAsia="en-GB"/>
        </w:rPr>
        <w:t xml:space="preserve">imposed by article 12 ECHR) </w:t>
      </w:r>
      <w:r w:rsidR="00DF6B4C" w:rsidRPr="009041BA">
        <w:rPr>
          <w:color w:val="000000"/>
          <w:szCs w:val="24"/>
          <w:lang w:eastAsia="en-GB"/>
        </w:rPr>
        <w:t xml:space="preserve">is </w:t>
      </w:r>
      <w:r w:rsidR="00E46CFC" w:rsidRPr="009041BA">
        <w:rPr>
          <w:color w:val="000000"/>
          <w:szCs w:val="24"/>
          <w:lang w:eastAsia="en-GB"/>
        </w:rPr>
        <w:t xml:space="preserve">that </w:t>
      </w:r>
      <w:r w:rsidR="00DF6B4C" w:rsidRPr="009041BA">
        <w:rPr>
          <w:color w:val="000000"/>
          <w:szCs w:val="24"/>
          <w:lang w:eastAsia="en-GB"/>
        </w:rPr>
        <w:t xml:space="preserve">the state </w:t>
      </w:r>
      <w:r w:rsidR="00E46CFC" w:rsidRPr="009041BA">
        <w:rPr>
          <w:color w:val="000000"/>
          <w:szCs w:val="24"/>
          <w:lang w:eastAsia="en-GB"/>
        </w:rPr>
        <w:t xml:space="preserve">must recognise the right of men and women of marriageable age to marry and found a family </w:t>
      </w:r>
      <w:r w:rsidR="007E3C07" w:rsidRPr="009041BA">
        <w:rPr>
          <w:color w:val="000000"/>
          <w:szCs w:val="24"/>
          <w:lang w:eastAsia="en-GB"/>
        </w:rPr>
        <w:t>according to national law</w:t>
      </w:r>
      <w:r w:rsidR="00547DFD">
        <w:rPr>
          <w:color w:val="000000"/>
          <w:szCs w:val="24"/>
          <w:lang w:eastAsia="en-GB"/>
        </w:rPr>
        <w:t>;</w:t>
      </w:r>
      <w:r w:rsidR="007E3C07" w:rsidRPr="009041BA">
        <w:rPr>
          <w:color w:val="000000"/>
          <w:szCs w:val="24"/>
          <w:lang w:eastAsia="en-GB"/>
        </w:rPr>
        <w:t xml:space="preserve"> </w:t>
      </w:r>
      <w:r w:rsidR="0066740D" w:rsidRPr="009041BA">
        <w:rPr>
          <w:color w:val="000000"/>
          <w:szCs w:val="24"/>
          <w:lang w:eastAsia="en-GB"/>
        </w:rPr>
        <w:t>choosing to provide</w:t>
      </w:r>
      <w:r w:rsidR="00547DFD">
        <w:rPr>
          <w:color w:val="000000"/>
          <w:szCs w:val="24"/>
          <w:lang w:eastAsia="en-GB"/>
        </w:rPr>
        <w:t xml:space="preserve"> -</w:t>
      </w:r>
      <w:r w:rsidR="00A662BA" w:rsidRPr="009041BA">
        <w:rPr>
          <w:color w:val="000000"/>
          <w:szCs w:val="24"/>
          <w:lang w:eastAsia="en-GB"/>
        </w:rPr>
        <w:t xml:space="preserve"> in piecemeal and largely arbitrary fashion</w:t>
      </w:r>
      <w:r w:rsidR="00547DFD">
        <w:rPr>
          <w:color w:val="000000"/>
          <w:szCs w:val="24"/>
          <w:lang w:eastAsia="en-GB"/>
        </w:rPr>
        <w:t xml:space="preserve"> -</w:t>
      </w:r>
      <w:r w:rsidR="0066740D" w:rsidRPr="009041BA">
        <w:rPr>
          <w:color w:val="000000"/>
          <w:szCs w:val="24"/>
          <w:lang w:eastAsia="en-GB"/>
        </w:rPr>
        <w:t xml:space="preserve"> a patchwork quilt of additional rights and privileges</w:t>
      </w:r>
      <w:r w:rsidR="00A662BA" w:rsidRPr="009041BA">
        <w:rPr>
          <w:color w:val="000000"/>
          <w:szCs w:val="24"/>
          <w:lang w:eastAsia="en-GB"/>
        </w:rPr>
        <w:t>,</w:t>
      </w:r>
      <w:r w:rsidR="0066740D" w:rsidRPr="009041BA">
        <w:rPr>
          <w:color w:val="000000"/>
          <w:szCs w:val="24"/>
          <w:lang w:eastAsia="en-GB"/>
        </w:rPr>
        <w:t xml:space="preserve"> but only for religious groups</w:t>
      </w:r>
      <w:r w:rsidR="00A662BA" w:rsidRPr="009041BA">
        <w:rPr>
          <w:color w:val="000000"/>
          <w:szCs w:val="24"/>
          <w:lang w:eastAsia="en-GB"/>
        </w:rPr>
        <w:t>,</w:t>
      </w:r>
      <w:r w:rsidR="0066740D" w:rsidRPr="009041BA">
        <w:rPr>
          <w:color w:val="000000"/>
          <w:szCs w:val="24"/>
          <w:lang w:eastAsia="en-GB"/>
        </w:rPr>
        <w:t xml:space="preserve"> </w:t>
      </w:r>
      <w:r w:rsidR="00A662BA" w:rsidRPr="009041BA">
        <w:rPr>
          <w:color w:val="000000"/>
          <w:szCs w:val="24"/>
          <w:lang w:eastAsia="en-GB"/>
        </w:rPr>
        <w:t xml:space="preserve">does not represent the pursuit of any legitimate aim.  </w:t>
      </w:r>
    </w:p>
    <w:p w14:paraId="6B3BCF74" w14:textId="6F2B9DC9" w:rsidR="00562931" w:rsidRPr="009041BA" w:rsidRDefault="007A2B4D" w:rsidP="000768DC">
      <w:pPr>
        <w:pStyle w:val="ParaLevel1"/>
        <w:rPr>
          <w:szCs w:val="24"/>
        </w:rPr>
      </w:pPr>
      <w:r w:rsidRPr="009041BA">
        <w:rPr>
          <w:color w:val="000000"/>
          <w:szCs w:val="24"/>
          <w:lang w:eastAsia="en-GB"/>
        </w:rPr>
        <w:t xml:space="preserve">On this point, I agree with the Claimants.  </w:t>
      </w:r>
      <w:r w:rsidR="009937BE">
        <w:rPr>
          <w:color w:val="000000"/>
          <w:szCs w:val="24"/>
          <w:lang w:eastAsia="en-GB"/>
        </w:rPr>
        <w:t xml:space="preserve">First, </w:t>
      </w:r>
      <w:r w:rsidR="00B36C31">
        <w:rPr>
          <w:color w:val="000000"/>
          <w:szCs w:val="24"/>
          <w:lang w:eastAsia="en-GB"/>
        </w:rPr>
        <w:t xml:space="preserve">because </w:t>
      </w:r>
      <w:r w:rsidR="00D53F09">
        <w:rPr>
          <w:color w:val="000000"/>
          <w:szCs w:val="24"/>
          <w:lang w:eastAsia="en-GB"/>
        </w:rPr>
        <w:t>t</w:t>
      </w:r>
      <w:r w:rsidR="009937BE" w:rsidRPr="009041BA">
        <w:rPr>
          <w:color w:val="000000"/>
          <w:szCs w:val="24"/>
          <w:lang w:eastAsia="en-GB"/>
        </w:rPr>
        <w:t>h</w:t>
      </w:r>
      <w:r w:rsidR="00D53F09">
        <w:rPr>
          <w:color w:val="000000"/>
          <w:szCs w:val="24"/>
          <w:lang w:eastAsia="en-GB"/>
        </w:rPr>
        <w:t>e</w:t>
      </w:r>
      <w:r w:rsidR="009937BE" w:rsidRPr="009041BA">
        <w:rPr>
          <w:color w:val="000000"/>
          <w:szCs w:val="24"/>
          <w:lang w:eastAsia="en-GB"/>
        </w:rPr>
        <w:t xml:space="preserve"> “aim”</w:t>
      </w:r>
      <w:r w:rsidR="00D53F09">
        <w:rPr>
          <w:color w:val="000000"/>
          <w:szCs w:val="24"/>
          <w:lang w:eastAsia="en-GB"/>
        </w:rPr>
        <w:t xml:space="preserve">, as stated, amounts to nothing more than </w:t>
      </w:r>
      <w:r w:rsidR="009937BE" w:rsidRPr="009041BA">
        <w:rPr>
          <w:color w:val="000000"/>
          <w:szCs w:val="24"/>
          <w:lang w:eastAsia="en-GB"/>
        </w:rPr>
        <w:t xml:space="preserve">a statement of the discrimination </w:t>
      </w:r>
      <w:r w:rsidR="004B3393">
        <w:rPr>
          <w:color w:val="000000"/>
          <w:szCs w:val="24"/>
          <w:lang w:eastAsia="en-GB"/>
        </w:rPr>
        <w:t xml:space="preserve">of which </w:t>
      </w:r>
      <w:r w:rsidR="009937BE" w:rsidRPr="009041BA">
        <w:rPr>
          <w:color w:val="000000"/>
          <w:szCs w:val="24"/>
          <w:lang w:eastAsia="en-GB"/>
        </w:rPr>
        <w:t xml:space="preserve">the Claimants complain: without any further investigation as to the content of the beliefs held regarding marriage, </w:t>
      </w:r>
      <w:r w:rsidR="008E4AE4">
        <w:rPr>
          <w:color w:val="000000"/>
          <w:szCs w:val="24"/>
          <w:lang w:eastAsia="en-GB"/>
        </w:rPr>
        <w:t>this objective could only privilege</w:t>
      </w:r>
      <w:r w:rsidR="009937BE" w:rsidRPr="009041BA">
        <w:rPr>
          <w:color w:val="000000"/>
          <w:szCs w:val="24"/>
          <w:lang w:eastAsia="en-GB"/>
        </w:rPr>
        <w:t xml:space="preserve"> religious attachment over the traditions and beliefs of those who adhere to other, non-religious belief systems.  </w:t>
      </w:r>
      <w:r w:rsidR="008E4AE4">
        <w:rPr>
          <w:color w:val="000000"/>
          <w:szCs w:val="24"/>
          <w:lang w:eastAsia="en-GB"/>
        </w:rPr>
        <w:t>Second</w:t>
      </w:r>
      <w:r w:rsidR="00215B9F">
        <w:rPr>
          <w:color w:val="000000"/>
          <w:szCs w:val="24"/>
          <w:lang w:eastAsia="en-GB"/>
        </w:rPr>
        <w:t xml:space="preserve">, </w:t>
      </w:r>
      <w:r w:rsidR="007C6DE2">
        <w:rPr>
          <w:color w:val="000000"/>
          <w:szCs w:val="24"/>
          <w:lang w:eastAsia="en-GB"/>
        </w:rPr>
        <w:t xml:space="preserve">because </w:t>
      </w:r>
      <w:r w:rsidR="00215B9F">
        <w:rPr>
          <w:color w:val="000000"/>
          <w:szCs w:val="24"/>
          <w:lang w:eastAsia="en-GB"/>
        </w:rPr>
        <w:t xml:space="preserve">there is no rational connection between </w:t>
      </w:r>
      <w:r w:rsidR="004212F1">
        <w:rPr>
          <w:color w:val="000000"/>
          <w:szCs w:val="24"/>
          <w:lang w:eastAsia="en-GB"/>
        </w:rPr>
        <w:t xml:space="preserve">the way in which English law recognises marriage and </w:t>
      </w:r>
      <w:r w:rsidR="002D06FA">
        <w:rPr>
          <w:color w:val="000000"/>
          <w:szCs w:val="24"/>
          <w:lang w:eastAsia="en-GB"/>
        </w:rPr>
        <w:t xml:space="preserve">the stated objective.  </w:t>
      </w:r>
      <w:r w:rsidRPr="009041BA">
        <w:rPr>
          <w:color w:val="000000"/>
          <w:szCs w:val="24"/>
          <w:lang w:eastAsia="en-GB"/>
        </w:rPr>
        <w:t>Although</w:t>
      </w:r>
      <w:r w:rsidR="00331F90" w:rsidRPr="009041BA">
        <w:rPr>
          <w:color w:val="000000"/>
          <w:szCs w:val="24"/>
          <w:lang w:eastAsia="en-GB"/>
        </w:rPr>
        <w:t xml:space="preserve"> the piecemeal development of the law in this regard need not be fatal to the establishment of a legitimate aim</w:t>
      </w:r>
      <w:r w:rsidR="00730A66" w:rsidRPr="009041BA">
        <w:rPr>
          <w:color w:val="000000"/>
          <w:szCs w:val="24"/>
          <w:lang w:eastAsia="en-GB"/>
        </w:rPr>
        <w:t xml:space="preserve"> – the test </w:t>
      </w:r>
      <w:r w:rsidR="00526CBF">
        <w:rPr>
          <w:color w:val="000000"/>
          <w:szCs w:val="24"/>
          <w:lang w:eastAsia="en-GB"/>
        </w:rPr>
        <w:t xml:space="preserve">is </w:t>
      </w:r>
      <w:r w:rsidR="00730A66" w:rsidRPr="009041BA">
        <w:rPr>
          <w:color w:val="000000"/>
          <w:szCs w:val="24"/>
          <w:lang w:eastAsia="en-GB"/>
        </w:rPr>
        <w:t xml:space="preserve">objective; the aim need not have been </w:t>
      </w:r>
      <w:r w:rsidR="00977D60" w:rsidRPr="009041BA">
        <w:rPr>
          <w:color w:val="000000"/>
          <w:szCs w:val="24"/>
          <w:lang w:eastAsia="en-GB"/>
        </w:rPr>
        <w:t xml:space="preserve">expressly articulated at an earlier stage </w:t>
      </w:r>
      <w:r w:rsidR="006C7944" w:rsidRPr="009041BA">
        <w:rPr>
          <w:color w:val="000000"/>
          <w:szCs w:val="24"/>
          <w:lang w:eastAsia="en-GB"/>
        </w:rPr>
        <w:t>–</w:t>
      </w:r>
      <w:r w:rsidR="00977D60" w:rsidRPr="009041BA">
        <w:rPr>
          <w:color w:val="000000"/>
          <w:szCs w:val="24"/>
          <w:lang w:eastAsia="en-GB"/>
        </w:rPr>
        <w:t xml:space="preserve"> </w:t>
      </w:r>
      <w:r w:rsidR="006C7944" w:rsidRPr="009041BA">
        <w:rPr>
          <w:color w:val="000000"/>
          <w:szCs w:val="24"/>
          <w:lang w:eastAsia="en-GB"/>
        </w:rPr>
        <w:t>it must</w:t>
      </w:r>
      <w:r w:rsidR="00557984" w:rsidRPr="009041BA">
        <w:rPr>
          <w:color w:val="000000"/>
          <w:szCs w:val="24"/>
          <w:lang w:eastAsia="en-GB"/>
        </w:rPr>
        <w:t xml:space="preserve"> be</w:t>
      </w:r>
      <w:r w:rsidR="006C7944" w:rsidRPr="009041BA">
        <w:rPr>
          <w:color w:val="000000"/>
          <w:szCs w:val="24"/>
          <w:lang w:eastAsia="en-GB"/>
        </w:rPr>
        <w:t xml:space="preserve"> </w:t>
      </w:r>
      <w:r w:rsidR="00E729E8" w:rsidRPr="009041BA">
        <w:rPr>
          <w:color w:val="000000"/>
          <w:szCs w:val="24"/>
          <w:lang w:eastAsia="en-GB"/>
        </w:rPr>
        <w:t xml:space="preserve">possible to see that it is </w:t>
      </w:r>
      <w:r w:rsidR="006C7944" w:rsidRPr="009041BA">
        <w:rPr>
          <w:color w:val="000000"/>
          <w:szCs w:val="24"/>
          <w:lang w:eastAsia="en-GB"/>
        </w:rPr>
        <w:t>an aim pursued by the measure in question</w:t>
      </w:r>
      <w:r w:rsidR="00D47BDD" w:rsidRPr="009041BA">
        <w:rPr>
          <w:color w:val="000000"/>
          <w:szCs w:val="24"/>
          <w:lang w:eastAsia="en-GB"/>
        </w:rPr>
        <w:t xml:space="preserve">, there must be some rational connection </w:t>
      </w:r>
      <w:r w:rsidR="00701863">
        <w:rPr>
          <w:color w:val="000000"/>
          <w:szCs w:val="24"/>
          <w:lang w:eastAsia="en-GB"/>
        </w:rPr>
        <w:t xml:space="preserve">between </w:t>
      </w:r>
      <w:r w:rsidR="001201DA">
        <w:rPr>
          <w:color w:val="000000"/>
          <w:szCs w:val="24"/>
          <w:lang w:eastAsia="en-GB"/>
        </w:rPr>
        <w:t>the two</w:t>
      </w:r>
      <w:r w:rsidR="006C7944" w:rsidRPr="009041BA">
        <w:rPr>
          <w:color w:val="000000"/>
          <w:szCs w:val="24"/>
          <w:lang w:eastAsia="en-GB"/>
        </w:rPr>
        <w:t xml:space="preserve">.  </w:t>
      </w:r>
      <w:r w:rsidRPr="009041BA">
        <w:rPr>
          <w:color w:val="000000"/>
          <w:szCs w:val="24"/>
          <w:lang w:eastAsia="en-GB"/>
        </w:rPr>
        <w:t xml:space="preserve"> </w:t>
      </w:r>
      <w:r w:rsidR="0094183E" w:rsidRPr="009041BA">
        <w:rPr>
          <w:color w:val="000000"/>
          <w:szCs w:val="24"/>
          <w:lang w:eastAsia="en-GB"/>
        </w:rPr>
        <w:t>Under English law</w:t>
      </w:r>
      <w:r w:rsidR="002B7868" w:rsidRPr="009041BA">
        <w:rPr>
          <w:color w:val="000000"/>
          <w:szCs w:val="24"/>
          <w:lang w:eastAsia="en-GB"/>
        </w:rPr>
        <w:t xml:space="preserve">, religious groups are afforded the right to conduct religious marriages without the need to demonstrate </w:t>
      </w:r>
      <w:r w:rsidR="00287EED" w:rsidRPr="009041BA">
        <w:rPr>
          <w:color w:val="000000"/>
          <w:szCs w:val="24"/>
          <w:lang w:eastAsia="en-GB"/>
        </w:rPr>
        <w:t>the “special place” of marriage, or marriage ceremonies, within that religion</w:t>
      </w:r>
      <w:r w:rsidR="00AD150B" w:rsidRPr="009041BA">
        <w:rPr>
          <w:color w:val="000000"/>
          <w:szCs w:val="24"/>
          <w:lang w:eastAsia="en-GB"/>
        </w:rPr>
        <w:t xml:space="preserve">; there is </w:t>
      </w:r>
      <w:r w:rsidR="00FF16E6" w:rsidRPr="009041BA">
        <w:rPr>
          <w:color w:val="000000"/>
          <w:szCs w:val="24"/>
          <w:lang w:eastAsia="en-GB"/>
        </w:rPr>
        <w:t xml:space="preserve">no </w:t>
      </w:r>
      <w:r w:rsidR="006070AA" w:rsidRPr="009041BA">
        <w:rPr>
          <w:color w:val="000000"/>
          <w:szCs w:val="24"/>
          <w:lang w:eastAsia="en-GB"/>
        </w:rPr>
        <w:t>rational connection</w:t>
      </w:r>
      <w:r w:rsidR="00FF16E6" w:rsidRPr="009041BA">
        <w:rPr>
          <w:color w:val="000000"/>
          <w:szCs w:val="24"/>
          <w:lang w:eastAsia="en-GB"/>
        </w:rPr>
        <w:t xml:space="preserve"> </w:t>
      </w:r>
      <w:r w:rsidR="00AD150B" w:rsidRPr="009041BA">
        <w:rPr>
          <w:color w:val="000000"/>
          <w:szCs w:val="24"/>
          <w:lang w:eastAsia="en-GB"/>
        </w:rPr>
        <w:t>b</w:t>
      </w:r>
      <w:r w:rsidR="00FF16E6" w:rsidRPr="009041BA">
        <w:rPr>
          <w:color w:val="000000"/>
          <w:szCs w:val="24"/>
          <w:lang w:eastAsia="en-GB"/>
        </w:rPr>
        <w:t xml:space="preserve">etween the </w:t>
      </w:r>
      <w:r w:rsidR="00946443" w:rsidRPr="009041BA">
        <w:rPr>
          <w:color w:val="000000"/>
          <w:szCs w:val="24"/>
          <w:lang w:eastAsia="en-GB"/>
        </w:rPr>
        <w:t xml:space="preserve">requirements </w:t>
      </w:r>
      <w:r w:rsidR="00396F4D" w:rsidRPr="009041BA">
        <w:rPr>
          <w:color w:val="000000"/>
          <w:szCs w:val="24"/>
          <w:lang w:eastAsia="en-GB"/>
        </w:rPr>
        <w:t xml:space="preserve">for the </w:t>
      </w:r>
      <w:r w:rsidR="001835E6" w:rsidRPr="009041BA">
        <w:rPr>
          <w:color w:val="000000"/>
          <w:szCs w:val="24"/>
          <w:lang w:eastAsia="en-GB"/>
        </w:rPr>
        <w:t xml:space="preserve">legal recognition of religious marriages and any </w:t>
      </w:r>
      <w:r w:rsidR="001C1702" w:rsidRPr="009041BA">
        <w:rPr>
          <w:color w:val="000000"/>
          <w:szCs w:val="24"/>
          <w:lang w:eastAsia="en-GB"/>
        </w:rPr>
        <w:t xml:space="preserve">“special place” that </w:t>
      </w:r>
      <w:r w:rsidR="009845C2" w:rsidRPr="009041BA">
        <w:rPr>
          <w:color w:val="000000"/>
          <w:szCs w:val="24"/>
          <w:lang w:eastAsia="en-GB"/>
        </w:rPr>
        <w:t xml:space="preserve">the </w:t>
      </w:r>
      <w:r w:rsidR="001C1702" w:rsidRPr="009041BA">
        <w:rPr>
          <w:color w:val="000000"/>
          <w:szCs w:val="24"/>
          <w:lang w:eastAsia="en-GB"/>
        </w:rPr>
        <w:t xml:space="preserve">marriage </w:t>
      </w:r>
      <w:r w:rsidR="009845C2" w:rsidRPr="009041BA">
        <w:rPr>
          <w:color w:val="000000"/>
          <w:szCs w:val="24"/>
          <w:lang w:eastAsia="en-GB"/>
        </w:rPr>
        <w:t xml:space="preserve">ceremony </w:t>
      </w:r>
      <w:r w:rsidR="001C1702" w:rsidRPr="009041BA">
        <w:rPr>
          <w:color w:val="000000"/>
          <w:szCs w:val="24"/>
          <w:lang w:eastAsia="en-GB"/>
        </w:rPr>
        <w:t xml:space="preserve">may, or may not, hold for any </w:t>
      </w:r>
      <w:proofErr w:type="gramStart"/>
      <w:r w:rsidR="001C1702" w:rsidRPr="009041BA">
        <w:rPr>
          <w:color w:val="000000"/>
          <w:szCs w:val="24"/>
          <w:lang w:eastAsia="en-GB"/>
        </w:rPr>
        <w:t>particular religion</w:t>
      </w:r>
      <w:proofErr w:type="gramEnd"/>
      <w:r w:rsidR="00946443" w:rsidRPr="009041BA">
        <w:rPr>
          <w:color w:val="000000"/>
          <w:szCs w:val="24"/>
          <w:lang w:eastAsia="en-GB"/>
        </w:rPr>
        <w:t xml:space="preserve">.  </w:t>
      </w:r>
    </w:p>
    <w:p w14:paraId="79F157DA" w14:textId="3CA8466A" w:rsidR="006B2871" w:rsidRPr="009041BA" w:rsidRDefault="00F85451" w:rsidP="000768DC">
      <w:pPr>
        <w:pStyle w:val="ParaLevel1"/>
        <w:rPr>
          <w:szCs w:val="24"/>
        </w:rPr>
      </w:pPr>
      <w:r w:rsidRPr="009041BA">
        <w:rPr>
          <w:color w:val="000000"/>
          <w:szCs w:val="24"/>
          <w:lang w:eastAsia="en-GB"/>
        </w:rPr>
        <w:t xml:space="preserve">As for the second </w:t>
      </w:r>
      <w:r w:rsidR="00410361" w:rsidRPr="009041BA">
        <w:rPr>
          <w:color w:val="000000"/>
          <w:szCs w:val="24"/>
          <w:lang w:eastAsia="en-GB"/>
        </w:rPr>
        <w:t xml:space="preserve">and third </w:t>
      </w:r>
      <w:r w:rsidRPr="009041BA">
        <w:rPr>
          <w:color w:val="000000"/>
          <w:szCs w:val="24"/>
          <w:lang w:eastAsia="en-GB"/>
        </w:rPr>
        <w:t>aim</w:t>
      </w:r>
      <w:r w:rsidR="00410361" w:rsidRPr="009041BA">
        <w:rPr>
          <w:color w:val="000000"/>
          <w:szCs w:val="24"/>
          <w:lang w:eastAsia="en-GB"/>
        </w:rPr>
        <w:t>s</w:t>
      </w:r>
      <w:r w:rsidRPr="009041BA">
        <w:rPr>
          <w:color w:val="000000"/>
          <w:szCs w:val="24"/>
          <w:lang w:eastAsia="en-GB"/>
        </w:rPr>
        <w:t xml:space="preserve"> identified, the Claimants object that </w:t>
      </w:r>
      <w:r w:rsidR="000C3A36" w:rsidRPr="009041BA">
        <w:rPr>
          <w:color w:val="000000"/>
          <w:szCs w:val="24"/>
          <w:lang w:eastAsia="en-GB"/>
        </w:rPr>
        <w:t>the continu</w:t>
      </w:r>
      <w:r w:rsidR="005817FE">
        <w:rPr>
          <w:color w:val="000000"/>
          <w:szCs w:val="24"/>
          <w:lang w:eastAsia="en-GB"/>
        </w:rPr>
        <w:t>ed</w:t>
      </w:r>
      <w:r w:rsidR="000C3A36" w:rsidRPr="009041BA">
        <w:rPr>
          <w:color w:val="000000"/>
          <w:szCs w:val="24"/>
          <w:lang w:eastAsia="en-GB"/>
        </w:rPr>
        <w:t xml:space="preserve"> denial of legal recognition for humanist marriages cannot be legitimate if </w:t>
      </w:r>
      <w:r w:rsidR="00410361" w:rsidRPr="009041BA">
        <w:rPr>
          <w:color w:val="000000"/>
          <w:szCs w:val="24"/>
          <w:lang w:eastAsia="en-GB"/>
        </w:rPr>
        <w:t>this</w:t>
      </w:r>
      <w:r w:rsidR="00CA76AF" w:rsidRPr="009041BA">
        <w:rPr>
          <w:color w:val="000000"/>
          <w:szCs w:val="24"/>
          <w:lang w:eastAsia="en-GB"/>
        </w:rPr>
        <w:t xml:space="preserve"> results in </w:t>
      </w:r>
      <w:r w:rsidR="004856B4" w:rsidRPr="009041BA">
        <w:rPr>
          <w:color w:val="000000"/>
          <w:szCs w:val="24"/>
          <w:lang w:eastAsia="en-GB"/>
        </w:rPr>
        <w:t xml:space="preserve">the continuation of </w:t>
      </w:r>
      <w:r w:rsidR="00CA76AF" w:rsidRPr="009041BA">
        <w:rPr>
          <w:color w:val="000000"/>
          <w:szCs w:val="24"/>
          <w:lang w:eastAsia="en-GB"/>
        </w:rPr>
        <w:t xml:space="preserve">unlawful discrimination against humanists: it is no defence to </w:t>
      </w:r>
      <w:r w:rsidR="006A416D" w:rsidRPr="009041BA">
        <w:rPr>
          <w:color w:val="000000"/>
          <w:szCs w:val="24"/>
          <w:lang w:eastAsia="en-GB"/>
        </w:rPr>
        <w:t>plead that the system is already discriminatory</w:t>
      </w:r>
      <w:r w:rsidR="003B172F" w:rsidRPr="009041BA">
        <w:rPr>
          <w:color w:val="000000"/>
          <w:szCs w:val="24"/>
          <w:lang w:eastAsia="en-GB"/>
        </w:rPr>
        <w:t xml:space="preserve"> and no answer </w:t>
      </w:r>
      <w:r w:rsidR="00B24B6C" w:rsidRPr="009041BA">
        <w:rPr>
          <w:color w:val="000000"/>
          <w:szCs w:val="24"/>
          <w:lang w:eastAsia="en-GB"/>
        </w:rPr>
        <w:t>to rely on a</w:t>
      </w:r>
      <w:r w:rsidR="002F3EFA" w:rsidRPr="009041BA">
        <w:rPr>
          <w:color w:val="000000"/>
          <w:szCs w:val="24"/>
          <w:lang w:eastAsia="en-GB"/>
        </w:rPr>
        <w:t xml:space="preserve"> </w:t>
      </w:r>
      <w:r w:rsidR="00A04415" w:rsidRPr="009041BA">
        <w:rPr>
          <w:color w:val="000000"/>
          <w:szCs w:val="24"/>
          <w:lang w:eastAsia="en-GB"/>
        </w:rPr>
        <w:t xml:space="preserve">possible </w:t>
      </w:r>
      <w:r w:rsidR="002F3EFA" w:rsidRPr="009041BA">
        <w:rPr>
          <w:color w:val="000000"/>
          <w:szCs w:val="24"/>
          <w:lang w:eastAsia="en-GB"/>
        </w:rPr>
        <w:t xml:space="preserve">risk of some new, hypothetical discrimination </w:t>
      </w:r>
      <w:r w:rsidR="00A35639" w:rsidRPr="009041BA">
        <w:rPr>
          <w:color w:val="000000"/>
          <w:szCs w:val="24"/>
          <w:lang w:eastAsia="en-GB"/>
        </w:rPr>
        <w:t xml:space="preserve">as justification for the very real adverse impact already suffered by the Claimants.  </w:t>
      </w:r>
      <w:r w:rsidR="004856B4" w:rsidRPr="009041BA">
        <w:rPr>
          <w:color w:val="000000"/>
          <w:szCs w:val="24"/>
          <w:lang w:eastAsia="en-GB"/>
        </w:rPr>
        <w:t xml:space="preserve">As for the amendment </w:t>
      </w:r>
      <w:r w:rsidR="001C0DFB" w:rsidRPr="009041BA">
        <w:rPr>
          <w:color w:val="000000"/>
          <w:szCs w:val="24"/>
          <w:lang w:eastAsia="en-GB"/>
        </w:rPr>
        <w:t xml:space="preserve">to the law that would be required, the Claimants </w:t>
      </w:r>
      <w:r w:rsidR="004B2B7A">
        <w:rPr>
          <w:color w:val="000000"/>
          <w:szCs w:val="24"/>
          <w:lang w:eastAsia="en-GB"/>
        </w:rPr>
        <w:t xml:space="preserve">say </w:t>
      </w:r>
      <w:r w:rsidR="001C0DFB" w:rsidRPr="009041BA">
        <w:rPr>
          <w:color w:val="000000"/>
          <w:szCs w:val="24"/>
          <w:lang w:eastAsia="en-GB"/>
        </w:rPr>
        <w:t xml:space="preserve">this is already provided by </w:t>
      </w:r>
      <w:r w:rsidR="00FE78EC" w:rsidRPr="009041BA">
        <w:rPr>
          <w:szCs w:val="24"/>
        </w:rPr>
        <w:t>section 14</w:t>
      </w:r>
      <w:r w:rsidR="00172D0F">
        <w:rPr>
          <w:szCs w:val="24"/>
        </w:rPr>
        <w:t>(4)</w:t>
      </w:r>
      <w:r w:rsidR="00FE78EC" w:rsidRPr="009041BA">
        <w:rPr>
          <w:szCs w:val="24"/>
        </w:rPr>
        <w:t xml:space="preserve"> of the 2013 Act, </w:t>
      </w:r>
      <w:r w:rsidR="008416AA" w:rsidRPr="009041BA">
        <w:rPr>
          <w:szCs w:val="24"/>
        </w:rPr>
        <w:t xml:space="preserve">by which </w:t>
      </w:r>
      <w:r w:rsidR="005C6952">
        <w:rPr>
          <w:szCs w:val="24"/>
        </w:rPr>
        <w:t>Parliament</w:t>
      </w:r>
      <w:r w:rsidR="008416AA" w:rsidRPr="009041BA">
        <w:rPr>
          <w:szCs w:val="24"/>
        </w:rPr>
        <w:t xml:space="preserve"> has given the Defendant the power to </w:t>
      </w:r>
      <w:r w:rsidR="00FE4380" w:rsidRPr="009041BA">
        <w:rPr>
          <w:szCs w:val="24"/>
        </w:rPr>
        <w:t xml:space="preserve">amend the law to permit marriages according to the usages of belief systems.  </w:t>
      </w:r>
    </w:p>
    <w:p w14:paraId="6719510B" w14:textId="3A1715D3" w:rsidR="00D97119" w:rsidRPr="00D97119" w:rsidRDefault="00CC6F0D" w:rsidP="000768DC">
      <w:pPr>
        <w:pStyle w:val="ParaLevel1"/>
      </w:pPr>
      <w:r w:rsidRPr="009041BA">
        <w:rPr>
          <w:szCs w:val="24"/>
        </w:rPr>
        <w:t xml:space="preserve">In my judgment, </w:t>
      </w:r>
      <w:r w:rsidR="00195492" w:rsidRPr="009041BA">
        <w:rPr>
          <w:szCs w:val="24"/>
        </w:rPr>
        <w:t xml:space="preserve">if the second </w:t>
      </w:r>
      <w:r w:rsidRPr="009041BA">
        <w:rPr>
          <w:szCs w:val="24"/>
        </w:rPr>
        <w:t xml:space="preserve">aim identified </w:t>
      </w:r>
      <w:r w:rsidR="00195492" w:rsidRPr="009041BA">
        <w:rPr>
          <w:szCs w:val="24"/>
        </w:rPr>
        <w:t xml:space="preserve">by the Defendant </w:t>
      </w:r>
      <w:r w:rsidR="009047C9" w:rsidRPr="009041BA">
        <w:rPr>
          <w:szCs w:val="24"/>
        </w:rPr>
        <w:t>–</w:t>
      </w:r>
      <w:r w:rsidR="00195492" w:rsidRPr="009041BA">
        <w:rPr>
          <w:szCs w:val="24"/>
        </w:rPr>
        <w:t xml:space="preserve"> </w:t>
      </w:r>
      <w:r w:rsidR="009047C9" w:rsidRPr="009041BA">
        <w:rPr>
          <w:szCs w:val="24"/>
        </w:rPr>
        <w:t xml:space="preserve">not to introduce further complexity and </w:t>
      </w:r>
      <w:r w:rsidR="00897F92" w:rsidRPr="009041BA">
        <w:rPr>
          <w:szCs w:val="24"/>
        </w:rPr>
        <w:t>a</w:t>
      </w:r>
      <w:r w:rsidR="00245876">
        <w:rPr>
          <w:szCs w:val="24"/>
        </w:rPr>
        <w:t>ny</w:t>
      </w:r>
      <w:r w:rsidR="00897F92" w:rsidRPr="009041BA">
        <w:rPr>
          <w:szCs w:val="24"/>
        </w:rPr>
        <w:t xml:space="preserve"> new form</w:t>
      </w:r>
      <w:r w:rsidR="00245876">
        <w:rPr>
          <w:szCs w:val="24"/>
        </w:rPr>
        <w:t>s</w:t>
      </w:r>
      <w:r w:rsidR="00897F92" w:rsidRPr="009041BA">
        <w:rPr>
          <w:szCs w:val="24"/>
        </w:rPr>
        <w:t xml:space="preserve"> of </w:t>
      </w:r>
      <w:r w:rsidR="009047C9" w:rsidRPr="009041BA">
        <w:rPr>
          <w:szCs w:val="24"/>
        </w:rPr>
        <w:t xml:space="preserve">discrimination </w:t>
      </w:r>
      <w:r w:rsidR="00897F92" w:rsidRPr="009041BA">
        <w:rPr>
          <w:szCs w:val="24"/>
        </w:rPr>
        <w:t xml:space="preserve">into English law </w:t>
      </w:r>
      <w:r w:rsidR="00A7789D" w:rsidRPr="009041BA">
        <w:rPr>
          <w:szCs w:val="24"/>
        </w:rPr>
        <w:t>relating to marriage –</w:t>
      </w:r>
      <w:r w:rsidR="00897F92" w:rsidRPr="009041BA">
        <w:rPr>
          <w:szCs w:val="24"/>
        </w:rPr>
        <w:t xml:space="preserve"> </w:t>
      </w:r>
      <w:r w:rsidR="00A7789D" w:rsidRPr="009041BA">
        <w:rPr>
          <w:szCs w:val="24"/>
        </w:rPr>
        <w:t xml:space="preserve">is to have any legitimacy, it </w:t>
      </w:r>
      <w:r w:rsidR="000463DD" w:rsidRPr="009041BA">
        <w:rPr>
          <w:szCs w:val="24"/>
        </w:rPr>
        <w:t>can only be</w:t>
      </w:r>
      <w:r w:rsidR="00AC2535" w:rsidRPr="009041BA">
        <w:rPr>
          <w:szCs w:val="24"/>
        </w:rPr>
        <w:t xml:space="preserve"> as a preamble to the third aim – th</w:t>
      </w:r>
      <w:r w:rsidR="00281AF5">
        <w:rPr>
          <w:szCs w:val="24"/>
        </w:rPr>
        <w:t xml:space="preserve">at of </w:t>
      </w:r>
      <w:r w:rsidR="007E31B4">
        <w:rPr>
          <w:szCs w:val="24"/>
        </w:rPr>
        <w:t>undertaking any reform on a</w:t>
      </w:r>
      <w:r w:rsidR="005D2703" w:rsidRPr="009041BA">
        <w:rPr>
          <w:szCs w:val="24"/>
        </w:rPr>
        <w:t xml:space="preserve"> </w:t>
      </w:r>
      <w:r w:rsidR="00840741" w:rsidRPr="009041BA">
        <w:rPr>
          <w:szCs w:val="24"/>
        </w:rPr>
        <w:t xml:space="preserve">wholesale, </w:t>
      </w:r>
      <w:r w:rsidR="007E31B4">
        <w:rPr>
          <w:szCs w:val="24"/>
        </w:rPr>
        <w:t xml:space="preserve">rather than </w:t>
      </w:r>
      <w:r w:rsidR="00840741" w:rsidRPr="009041BA">
        <w:rPr>
          <w:szCs w:val="24"/>
        </w:rPr>
        <w:t xml:space="preserve">piecemeal, </w:t>
      </w:r>
      <w:r w:rsidR="007E31B4">
        <w:rPr>
          <w:szCs w:val="24"/>
        </w:rPr>
        <w:t>basis</w:t>
      </w:r>
      <w:r w:rsidR="00840741" w:rsidRPr="009041BA">
        <w:rPr>
          <w:szCs w:val="24"/>
        </w:rPr>
        <w:t xml:space="preserve">. </w:t>
      </w:r>
      <w:r w:rsidR="001A54B7" w:rsidRPr="009041BA">
        <w:rPr>
          <w:szCs w:val="24"/>
        </w:rPr>
        <w:t xml:space="preserve"> Otherwise, as the Claimants have observed, the Defendant would be seeking to justify</w:t>
      </w:r>
      <w:r w:rsidR="001B5A48" w:rsidRPr="009041BA">
        <w:rPr>
          <w:szCs w:val="24"/>
        </w:rPr>
        <w:t xml:space="preserve"> the continuation of a</w:t>
      </w:r>
      <w:r w:rsidR="00F54A37">
        <w:rPr>
          <w:szCs w:val="24"/>
        </w:rPr>
        <w:t>n established</w:t>
      </w:r>
      <w:r w:rsidR="001B5A48" w:rsidRPr="009041BA">
        <w:rPr>
          <w:szCs w:val="24"/>
        </w:rPr>
        <w:t xml:space="preserve"> discriminatory difference of treatment</w:t>
      </w:r>
      <w:r w:rsidR="00D92507">
        <w:rPr>
          <w:szCs w:val="24"/>
        </w:rPr>
        <w:t>,</w:t>
      </w:r>
      <w:r w:rsidR="001B5A48" w:rsidRPr="009041BA">
        <w:rPr>
          <w:szCs w:val="24"/>
        </w:rPr>
        <w:t xml:space="preserve"> as between </w:t>
      </w:r>
      <w:r w:rsidR="00E8106D" w:rsidRPr="009041BA">
        <w:rPr>
          <w:szCs w:val="24"/>
        </w:rPr>
        <w:t>humanists</w:t>
      </w:r>
      <w:r w:rsidR="00EC4A5B" w:rsidRPr="009041BA">
        <w:rPr>
          <w:szCs w:val="24"/>
        </w:rPr>
        <w:t xml:space="preserve"> and their religious comparators</w:t>
      </w:r>
      <w:r w:rsidR="00D92507">
        <w:rPr>
          <w:szCs w:val="24"/>
        </w:rPr>
        <w:t>,</w:t>
      </w:r>
      <w:r w:rsidR="00E8106D" w:rsidRPr="009041BA">
        <w:rPr>
          <w:szCs w:val="24"/>
        </w:rPr>
        <w:t xml:space="preserve"> on the basis that </w:t>
      </w:r>
      <w:r w:rsidR="003A389B" w:rsidRPr="009041BA">
        <w:rPr>
          <w:szCs w:val="24"/>
        </w:rPr>
        <w:t xml:space="preserve">the remedy sought </w:t>
      </w:r>
      <w:r w:rsidR="00FA4570" w:rsidRPr="009041BA">
        <w:rPr>
          <w:szCs w:val="24"/>
        </w:rPr>
        <w:t xml:space="preserve">– providing legal recognition of </w:t>
      </w:r>
      <w:r w:rsidR="00151A3D" w:rsidRPr="009041BA">
        <w:rPr>
          <w:szCs w:val="24"/>
        </w:rPr>
        <w:t xml:space="preserve">marriages </w:t>
      </w:r>
      <w:r w:rsidR="00151A3D" w:rsidRPr="009041BA">
        <w:rPr>
          <w:i/>
          <w:iCs/>
          <w:szCs w:val="24"/>
        </w:rPr>
        <w:t>according to the usages of Humanists UK</w:t>
      </w:r>
      <w:r w:rsidR="00151A3D" w:rsidRPr="009041BA">
        <w:rPr>
          <w:szCs w:val="24"/>
        </w:rPr>
        <w:t xml:space="preserve"> - </w:t>
      </w:r>
      <w:r w:rsidR="004A3A17" w:rsidRPr="009041BA">
        <w:rPr>
          <w:szCs w:val="24"/>
        </w:rPr>
        <w:t xml:space="preserve">might </w:t>
      </w:r>
      <w:r w:rsidR="00FF0BD5" w:rsidRPr="009041BA">
        <w:rPr>
          <w:szCs w:val="24"/>
        </w:rPr>
        <w:t xml:space="preserve">not address </w:t>
      </w:r>
      <w:r w:rsidR="004940DD" w:rsidRPr="009041BA">
        <w:rPr>
          <w:szCs w:val="24"/>
        </w:rPr>
        <w:t xml:space="preserve">other differences </w:t>
      </w:r>
      <w:r w:rsidR="00546F08" w:rsidRPr="009041BA">
        <w:rPr>
          <w:szCs w:val="24"/>
        </w:rPr>
        <w:t>in treatment.</w:t>
      </w:r>
      <w:r w:rsidR="007E4905">
        <w:rPr>
          <w:szCs w:val="24"/>
        </w:rPr>
        <w:t xml:space="preserve">  Acknowledging that </w:t>
      </w:r>
      <w:r w:rsidR="007029C9">
        <w:rPr>
          <w:szCs w:val="24"/>
        </w:rPr>
        <w:t>the removal of discrimination may</w:t>
      </w:r>
      <w:r w:rsidR="001F5240">
        <w:rPr>
          <w:szCs w:val="24"/>
        </w:rPr>
        <w:t xml:space="preserve"> be complex</w:t>
      </w:r>
      <w:r w:rsidR="007029C9">
        <w:rPr>
          <w:szCs w:val="24"/>
        </w:rPr>
        <w:t xml:space="preserve"> cannot, of itself, </w:t>
      </w:r>
      <w:r w:rsidR="00F240AF">
        <w:rPr>
          <w:szCs w:val="24"/>
        </w:rPr>
        <w:t>make a failure to address that discrimination a legitimate aim</w:t>
      </w:r>
      <w:r w:rsidR="00566631">
        <w:rPr>
          <w:szCs w:val="24"/>
        </w:rPr>
        <w:t xml:space="preserve">; </w:t>
      </w:r>
      <w:r w:rsidR="004A4A87">
        <w:rPr>
          <w:szCs w:val="24"/>
        </w:rPr>
        <w:t xml:space="preserve">it cannot be open to the Defendant to simply sit on his hands because </w:t>
      </w:r>
      <w:r w:rsidR="00F728B7">
        <w:rPr>
          <w:szCs w:val="24"/>
        </w:rPr>
        <w:t xml:space="preserve">taking steps to </w:t>
      </w:r>
      <w:r w:rsidR="00DD0C32">
        <w:rPr>
          <w:szCs w:val="24"/>
        </w:rPr>
        <w:lastRenderedPageBreak/>
        <w:t xml:space="preserve">address a discriminatory difference in treatment </w:t>
      </w:r>
      <w:r w:rsidR="009D03F3">
        <w:rPr>
          <w:szCs w:val="24"/>
        </w:rPr>
        <w:t xml:space="preserve">impacting upon one group may </w:t>
      </w:r>
      <w:r w:rsidR="00453D57">
        <w:rPr>
          <w:szCs w:val="24"/>
        </w:rPr>
        <w:t>give rise to issues relating to others.</w:t>
      </w:r>
      <w:r w:rsidR="00F240AF">
        <w:rPr>
          <w:szCs w:val="24"/>
        </w:rPr>
        <w:t xml:space="preserve">  </w:t>
      </w:r>
    </w:p>
    <w:p w14:paraId="319403D5" w14:textId="39BCCD69" w:rsidR="00C31F35" w:rsidRPr="00C31F35" w:rsidRDefault="002C4C9B" w:rsidP="000768DC">
      <w:pPr>
        <w:pStyle w:val="ParaLevel1"/>
      </w:pPr>
      <w:r>
        <w:rPr>
          <w:szCs w:val="24"/>
        </w:rPr>
        <w:t xml:space="preserve">All that said, </w:t>
      </w:r>
      <w:r w:rsidR="004D3D7A">
        <w:rPr>
          <w:szCs w:val="24"/>
        </w:rPr>
        <w:t xml:space="preserve">these are considerations that </w:t>
      </w:r>
      <w:r w:rsidR="00E7450D">
        <w:rPr>
          <w:szCs w:val="24"/>
        </w:rPr>
        <w:t>g</w:t>
      </w:r>
      <w:r w:rsidR="004D3D7A">
        <w:rPr>
          <w:szCs w:val="24"/>
        </w:rPr>
        <w:t xml:space="preserve">ive </w:t>
      </w:r>
      <w:r w:rsidR="001D23A7">
        <w:rPr>
          <w:szCs w:val="24"/>
        </w:rPr>
        <w:t xml:space="preserve">relevant context </w:t>
      </w:r>
      <w:r w:rsidR="00C167C0">
        <w:rPr>
          <w:szCs w:val="24"/>
        </w:rPr>
        <w:t>to the Defendant’s stated</w:t>
      </w:r>
      <w:r w:rsidR="00625EE1">
        <w:rPr>
          <w:szCs w:val="24"/>
        </w:rPr>
        <w:t xml:space="preserve"> desire to consider</w:t>
      </w:r>
      <w:r w:rsidR="00C167C0">
        <w:rPr>
          <w:szCs w:val="24"/>
        </w:rPr>
        <w:t xml:space="preserve"> any</w:t>
      </w:r>
      <w:r w:rsidR="00625EE1">
        <w:rPr>
          <w:szCs w:val="24"/>
        </w:rPr>
        <w:t xml:space="preserve"> reform on a wholesale, rather than piecemeal, basis</w:t>
      </w:r>
      <w:r w:rsidR="00802CA0">
        <w:rPr>
          <w:szCs w:val="24"/>
        </w:rPr>
        <w:t xml:space="preserve"> </w:t>
      </w:r>
      <w:r w:rsidR="005D60D2">
        <w:rPr>
          <w:szCs w:val="24"/>
        </w:rPr>
        <w:t>– the third aim identified by the Defendant</w:t>
      </w:r>
      <w:r w:rsidR="00035E81">
        <w:rPr>
          <w:szCs w:val="24"/>
        </w:rPr>
        <w:t xml:space="preserve">.  </w:t>
      </w:r>
      <w:r w:rsidR="00C51D41" w:rsidRPr="006B52A6">
        <w:rPr>
          <w:szCs w:val="24"/>
        </w:rPr>
        <w:t xml:space="preserve">The question </w:t>
      </w:r>
      <w:r w:rsidR="000264FE">
        <w:rPr>
          <w:szCs w:val="24"/>
        </w:rPr>
        <w:t xml:space="preserve">then </w:t>
      </w:r>
      <w:r w:rsidR="007833C0">
        <w:rPr>
          <w:szCs w:val="24"/>
        </w:rPr>
        <w:t xml:space="preserve">effectively </w:t>
      </w:r>
      <w:r w:rsidR="00C51D41" w:rsidRPr="006B52A6">
        <w:rPr>
          <w:szCs w:val="24"/>
        </w:rPr>
        <w:t>become</w:t>
      </w:r>
      <w:r w:rsidR="00802CA0">
        <w:rPr>
          <w:szCs w:val="24"/>
        </w:rPr>
        <w:t>s</w:t>
      </w:r>
      <w:r w:rsidR="00C51D41" w:rsidRPr="006B52A6">
        <w:rPr>
          <w:szCs w:val="24"/>
        </w:rPr>
        <w:t xml:space="preserve"> whether the Defendant has established a legitimate aim in taking time to </w:t>
      </w:r>
      <w:r w:rsidR="008603BB" w:rsidRPr="006B52A6">
        <w:rPr>
          <w:szCs w:val="24"/>
        </w:rPr>
        <w:t xml:space="preserve">consider </w:t>
      </w:r>
      <w:r w:rsidR="00910043">
        <w:rPr>
          <w:szCs w:val="24"/>
        </w:rPr>
        <w:t xml:space="preserve">the appropriate </w:t>
      </w:r>
      <w:r w:rsidR="008603BB" w:rsidRPr="006B52A6">
        <w:rPr>
          <w:szCs w:val="24"/>
        </w:rPr>
        <w:t xml:space="preserve">solution as part of a </w:t>
      </w:r>
      <w:r w:rsidR="003C3B25" w:rsidRPr="006B52A6">
        <w:rPr>
          <w:szCs w:val="24"/>
        </w:rPr>
        <w:t xml:space="preserve">wider reform of the law in this regard? </w:t>
      </w:r>
    </w:p>
    <w:p w14:paraId="337A6CFD" w14:textId="5F511F52" w:rsidR="001334C7" w:rsidRDefault="00776140" w:rsidP="000768DC">
      <w:pPr>
        <w:pStyle w:val="ParaLevel1"/>
      </w:pPr>
      <w:r w:rsidRPr="00776140">
        <w:rPr>
          <w:szCs w:val="24"/>
        </w:rPr>
        <w:t>Giving the Judgment of the Supreme Court in</w:t>
      </w:r>
      <w:r w:rsidR="00C31F35" w:rsidRPr="00776140">
        <w:rPr>
          <w:szCs w:val="24"/>
        </w:rPr>
        <w:t xml:space="preserve"> </w:t>
      </w:r>
      <w:r w:rsidR="00BA7A46" w:rsidRPr="00DB620D">
        <w:rPr>
          <w:i/>
          <w:szCs w:val="24"/>
          <w:lang w:eastAsia="en-GB"/>
        </w:rPr>
        <w:t>Steinfeld</w:t>
      </w:r>
      <w:r w:rsidR="00C31F35" w:rsidRPr="00776140">
        <w:rPr>
          <w:szCs w:val="24"/>
        </w:rPr>
        <w:t xml:space="preserve"> (which concerned </w:t>
      </w:r>
      <w:r w:rsidR="009C17F6" w:rsidRPr="00776140">
        <w:rPr>
          <w:szCs w:val="24"/>
        </w:rPr>
        <w:t xml:space="preserve">a challenge to the </w:t>
      </w:r>
      <w:r w:rsidR="00844B58" w:rsidRPr="00776140">
        <w:rPr>
          <w:szCs w:val="24"/>
        </w:rPr>
        <w:t xml:space="preserve">Government’s </w:t>
      </w:r>
      <w:r w:rsidR="009C17F6" w:rsidRPr="00776140">
        <w:rPr>
          <w:szCs w:val="24"/>
        </w:rPr>
        <w:t>failure to extend civil partnerships</w:t>
      </w:r>
      <w:r w:rsidR="007C192C">
        <w:rPr>
          <w:szCs w:val="24"/>
        </w:rPr>
        <w:t xml:space="preserve"> </w:t>
      </w:r>
      <w:r w:rsidR="00AD5337">
        <w:rPr>
          <w:szCs w:val="24"/>
        </w:rPr>
        <w:t xml:space="preserve">(open to </w:t>
      </w:r>
      <w:r w:rsidR="007C192C">
        <w:rPr>
          <w:szCs w:val="24"/>
        </w:rPr>
        <w:t>same-sex couples</w:t>
      </w:r>
      <w:r w:rsidR="00AD5337">
        <w:rPr>
          <w:szCs w:val="24"/>
        </w:rPr>
        <w:t>)</w:t>
      </w:r>
      <w:r w:rsidR="009C17F6" w:rsidRPr="00776140">
        <w:rPr>
          <w:szCs w:val="24"/>
        </w:rPr>
        <w:t xml:space="preserve"> to </w:t>
      </w:r>
      <w:r w:rsidR="00844B58" w:rsidRPr="00776140">
        <w:rPr>
          <w:szCs w:val="24"/>
        </w:rPr>
        <w:t xml:space="preserve">different sex couples), </w:t>
      </w:r>
      <w:r>
        <w:t xml:space="preserve">Lord Kerr of </w:t>
      </w:r>
      <w:proofErr w:type="spellStart"/>
      <w:r>
        <w:t>Tonaghmore</w:t>
      </w:r>
      <w:proofErr w:type="spellEnd"/>
      <w:r>
        <w:t xml:space="preserve"> </w:t>
      </w:r>
      <w:proofErr w:type="spellStart"/>
      <w:r>
        <w:t>JSC</w:t>
      </w:r>
      <w:proofErr w:type="spellEnd"/>
      <w:r w:rsidR="00151D9F">
        <w:t xml:space="preserve"> </w:t>
      </w:r>
      <w:r w:rsidR="00F241A4">
        <w:t>dismissed</w:t>
      </w:r>
      <w:r w:rsidR="00151D9F">
        <w:t xml:space="preserve"> the argument that the Government’s desire </w:t>
      </w:r>
      <w:r w:rsidR="00FD5F61">
        <w:t xml:space="preserve">for </w:t>
      </w:r>
      <w:r w:rsidR="00D9480B">
        <w:t xml:space="preserve">time to </w:t>
      </w:r>
      <w:r w:rsidR="00FD5F61">
        <w:t xml:space="preserve">consider the question of reform </w:t>
      </w:r>
      <w:r w:rsidR="00344C0C">
        <w:t>amounted to a legitimate aim</w:t>
      </w:r>
      <w:r w:rsidR="0079426D">
        <w:t>, holding (see paragraph 42</w:t>
      </w:r>
      <w:r w:rsidR="007C192C">
        <w:t>)</w:t>
      </w:r>
      <w:r w:rsidR="004E1B90">
        <w:t xml:space="preserve">: </w:t>
      </w:r>
    </w:p>
    <w:p w14:paraId="7E3FC9A0" w14:textId="02E29102" w:rsidR="00DD7C1C" w:rsidRDefault="00CF3E00" w:rsidP="000768DC">
      <w:pPr>
        <w:pStyle w:val="Quote"/>
      </w:pPr>
      <w:r>
        <w:t>“</w:t>
      </w:r>
      <w:r w:rsidR="007C192C">
        <w:t>…</w:t>
      </w:r>
      <w:r w:rsidR="00DD7C1C">
        <w:t xml:space="preserve"> The respondent does not seek to justify the difference in treatment between same sex and different sex couples. To the contrary, it accepts that that difference cannot be justified. </w:t>
      </w:r>
      <w:bookmarkStart w:id="29" w:name="_Hlk46785745"/>
      <w:r w:rsidR="00DD7C1C">
        <w:t>What it seeks is tolerance of the discrimination while it sorts out how to deal with it. That cannot be characterised as a legitimate aim.</w:t>
      </w:r>
      <w:r>
        <w:t>”</w:t>
      </w:r>
    </w:p>
    <w:bookmarkEnd w:id="29"/>
    <w:p w14:paraId="65D188F2" w14:textId="02EB700E" w:rsidR="003F03AF" w:rsidRDefault="00CF3E00" w:rsidP="000768DC">
      <w:pPr>
        <w:pStyle w:val="ParaLevel1"/>
      </w:pPr>
      <w:r w:rsidRPr="00CF3E00">
        <w:t>I</w:t>
      </w:r>
      <w:r w:rsidR="00DD7C1C">
        <w:t xml:space="preserve">n </w:t>
      </w:r>
      <w:r w:rsidR="006B4089">
        <w:t>rejecting the conclusion reached by the Court of Appeal on this point, Lord Kerr acknowledged that</w:t>
      </w:r>
      <w:r w:rsidR="003F03AF">
        <w:t xml:space="preserve"> in</w:t>
      </w:r>
      <w:r w:rsidR="006B4089">
        <w:t xml:space="preserve"> </w:t>
      </w:r>
      <w:bookmarkStart w:id="30" w:name="para60"/>
      <w:r w:rsidR="003F03AF">
        <w:rPr>
          <w:i/>
          <w:iCs/>
        </w:rPr>
        <w:t>Walden v Liechtenstein</w:t>
      </w:r>
      <w:r w:rsidR="003F03AF">
        <w:t xml:space="preserve"> (Application No 33916/96) (16 March 2000)</w:t>
      </w:r>
      <w:bookmarkEnd w:id="30"/>
      <w:r w:rsidR="003F03AF">
        <w:t xml:space="preserve"> the ECtHR had </w:t>
      </w:r>
      <w:r w:rsidR="00562E30">
        <w:t xml:space="preserve">held that a refusal to quash a discriminatory law </w:t>
      </w:r>
      <w:r w:rsidR="0018069A">
        <w:t xml:space="preserve">could be justified as equivalent to a </w:t>
      </w:r>
      <w:r w:rsidR="00851D83">
        <w:t xml:space="preserve">temporary </w:t>
      </w:r>
      <w:r w:rsidR="0018069A">
        <w:t xml:space="preserve">stay pending rectification by </w:t>
      </w:r>
      <w:r w:rsidR="00EF2DA2">
        <w:t xml:space="preserve">primary legislation. </w:t>
      </w:r>
      <w:r w:rsidR="008A081A">
        <w:t xml:space="preserve"> In </w:t>
      </w:r>
      <w:r w:rsidR="008A081A">
        <w:rPr>
          <w:i/>
          <w:iCs/>
        </w:rPr>
        <w:t xml:space="preserve">R (Hooper) v Secretary of State </w:t>
      </w:r>
      <w:r w:rsidR="006542FE">
        <w:rPr>
          <w:i/>
          <w:iCs/>
        </w:rPr>
        <w:t xml:space="preserve">for Work and Pensions </w:t>
      </w:r>
      <w:r w:rsidR="006542FE">
        <w:t>[2005] 1 WLR 1681, Lord Hoffman had described this decision as “puzzling” (see paragraph 62)</w:t>
      </w:r>
      <w:r w:rsidR="00244B0A">
        <w:t>,</w:t>
      </w:r>
      <w:r w:rsidR="006542FE">
        <w:t xml:space="preserve"> </w:t>
      </w:r>
      <w:r w:rsidR="003E6DA1">
        <w:t>but had allowed:</w:t>
      </w:r>
    </w:p>
    <w:p w14:paraId="625D3CA6" w14:textId="192A9ADB" w:rsidR="00DD7C1C" w:rsidRDefault="00DD7C1C" w:rsidP="000768DC">
      <w:pPr>
        <w:pStyle w:val="Quote"/>
      </w:pPr>
      <w:r>
        <w:t>“</w:t>
      </w:r>
      <w:r w:rsidR="001F5699">
        <w:t xml:space="preserve">62. … </w:t>
      </w:r>
      <w:r>
        <w:t xml:space="preserve">I can quite understand that if one has a form of discrimination which was historically justified but, with changes in society, has gradually lost its justification, a period of consultation, drafting and debate must be included in the time which the legislature may reasonably consider appropriate for making a change. Up to the point at which that time is exceeded, there is no violation of a Convention right. But there is no suggestion in the report of </w:t>
      </w:r>
      <w:r>
        <w:rPr>
          <w:rStyle w:val="Emphasis"/>
        </w:rPr>
        <w:t>Walden v Liechtenstein</w:t>
      </w:r>
      <w:r>
        <w:t xml:space="preserve"> that the discrimination between married couples was ever justified and I find it hard to see why there was no violation of Convention rights as long as the old law remained in place.”</w:t>
      </w:r>
    </w:p>
    <w:p w14:paraId="4420BF8E" w14:textId="3E4789A6" w:rsidR="00607B04" w:rsidRDefault="00D7028F" w:rsidP="000768DC">
      <w:pPr>
        <w:pStyle w:val="ParaLevel1"/>
      </w:pPr>
      <w:r>
        <w:t xml:space="preserve">Unlike </w:t>
      </w:r>
      <w:r w:rsidRPr="00D7028F">
        <w:rPr>
          <w:i/>
          <w:iCs/>
        </w:rPr>
        <w:t>Steinfeld</w:t>
      </w:r>
      <w:r>
        <w:t>, t</w:t>
      </w:r>
      <w:r w:rsidR="00DA0194">
        <w:t xml:space="preserve">he present </w:t>
      </w:r>
      <w:r w:rsidR="00C904C9">
        <w:t xml:space="preserve">case does not involve a challenge to a relatively new change in the law that has introduced </w:t>
      </w:r>
      <w:r w:rsidR="00DB117D">
        <w:t>a difference of treatment</w:t>
      </w:r>
      <w:r w:rsidR="00762E34">
        <w:t xml:space="preserve">; the </w:t>
      </w:r>
      <w:r w:rsidR="00732477">
        <w:t xml:space="preserve">discrimination </w:t>
      </w:r>
      <w:r w:rsidR="00762E34">
        <w:t>of which the Claimants complain is long-standing</w:t>
      </w:r>
      <w:r w:rsidR="007D66B6">
        <w:t xml:space="preserve">, although </w:t>
      </w:r>
      <w:r w:rsidR="003811C8">
        <w:t xml:space="preserve">the catalyst for their claim is the more recent </w:t>
      </w:r>
      <w:r w:rsidR="00CB4371">
        <w:t xml:space="preserve">power afforded to the Defendant under the 2013 Act (or, more specifically, his failure to </w:t>
      </w:r>
      <w:r w:rsidR="00B168A8">
        <w:t>exercise that power)</w:t>
      </w:r>
      <w:r w:rsidR="00732477">
        <w:t xml:space="preserve">.  </w:t>
      </w:r>
      <w:r w:rsidR="000F577B">
        <w:t xml:space="preserve">While </w:t>
      </w:r>
      <w:r w:rsidR="00576D37">
        <w:t xml:space="preserve">there has plainly been a </w:t>
      </w:r>
      <w:r w:rsidR="00406A6B">
        <w:t>very real change in social attitudes towards marriage</w:t>
      </w:r>
      <w:r w:rsidR="001F7AD5">
        <w:t xml:space="preserve"> (and see </w:t>
      </w:r>
      <w:r w:rsidR="00406A6B">
        <w:t xml:space="preserve">the discussion at paragraphs 1.22-1.27 of the Law Commission’s Scoping Paper), </w:t>
      </w:r>
      <w:r w:rsidR="000F577B">
        <w:t>it is difficult to say that this is discrimination that has only gradually and recently lost its historic justification</w:t>
      </w:r>
      <w:r w:rsidR="00C54811">
        <w:t>:</w:t>
      </w:r>
      <w:r w:rsidR="000F577B">
        <w:t xml:space="preserve"> </w:t>
      </w:r>
      <w:r w:rsidR="005E5633">
        <w:t>o</w:t>
      </w:r>
      <w:r w:rsidR="00AA52AB">
        <w:t xml:space="preserve">n the evidence before me, </w:t>
      </w:r>
      <w:r w:rsidR="006A7AEB">
        <w:t xml:space="preserve">marriages in accordance with </w:t>
      </w:r>
      <w:r w:rsidR="00301F7E">
        <w:t>ethical</w:t>
      </w:r>
      <w:r w:rsidR="00F300D0">
        <w:t>, non-religious</w:t>
      </w:r>
      <w:r w:rsidR="003638AC">
        <w:t xml:space="preserve"> rituals</w:t>
      </w:r>
      <w:r w:rsidR="000D27B4">
        <w:t xml:space="preserve"> (as</w:t>
      </w:r>
      <w:r w:rsidR="003638AC">
        <w:t xml:space="preserve"> laid down by the predecessors to Humanists UK</w:t>
      </w:r>
      <w:r w:rsidR="000D27B4">
        <w:t>)</w:t>
      </w:r>
      <w:r w:rsidR="003638AC">
        <w:t xml:space="preserve"> </w:t>
      </w:r>
      <w:r w:rsidR="00A11246">
        <w:t>date back to the early twentieth century</w:t>
      </w:r>
      <w:r w:rsidR="0068701A">
        <w:t xml:space="preserve">; there is </w:t>
      </w:r>
      <w:r w:rsidR="0071300C">
        <w:t>force behind</w:t>
      </w:r>
      <w:r w:rsidR="00913B99">
        <w:t xml:space="preserve"> the </w:t>
      </w:r>
      <w:r w:rsidR="0068701A">
        <w:t>Claimants</w:t>
      </w:r>
      <w:r w:rsidR="00913B99">
        <w:t>’</w:t>
      </w:r>
      <w:r w:rsidR="0068701A">
        <w:t xml:space="preserve"> complain</w:t>
      </w:r>
      <w:r w:rsidR="00913B99">
        <w:t>t</w:t>
      </w:r>
      <w:r w:rsidR="0068701A">
        <w:t xml:space="preserve"> that reform </w:t>
      </w:r>
      <w:r w:rsidR="00913B99">
        <w:t>i</w:t>
      </w:r>
      <w:r w:rsidR="0068701A">
        <w:t>s long overdue</w:t>
      </w:r>
      <w:r w:rsidR="003C7E16">
        <w:t xml:space="preserve">.  </w:t>
      </w:r>
    </w:p>
    <w:p w14:paraId="35DF2B6A" w14:textId="79320FE0" w:rsidR="00A0357C" w:rsidRDefault="00EF4727" w:rsidP="000768DC">
      <w:pPr>
        <w:pStyle w:val="ParaLevel1"/>
      </w:pPr>
      <w:r>
        <w:lastRenderedPageBreak/>
        <w:t xml:space="preserve">That said, </w:t>
      </w:r>
      <w:r w:rsidR="00AF17E7">
        <w:t xml:space="preserve">there is evidence to support the Defendant’s position that </w:t>
      </w:r>
      <w:r w:rsidR="00EE5AC5">
        <w:t>this</w:t>
      </w:r>
      <w:r w:rsidR="0007552E">
        <w:t xml:space="preserve"> </w:t>
      </w:r>
      <w:r w:rsidR="00EE5AC5">
        <w:t xml:space="preserve">is not an area where reform can properly be undertaken </w:t>
      </w:r>
      <w:r w:rsidR="0007552E">
        <w:t xml:space="preserve">in a piecemeal fashion. </w:t>
      </w:r>
      <w:r w:rsidR="003D65C6">
        <w:t xml:space="preserve"> If </w:t>
      </w:r>
      <w:r w:rsidR="00513E8A">
        <w:t xml:space="preserve">legal recognition is to be afforded to marriages conducted according to the </w:t>
      </w:r>
      <w:r w:rsidR="00B80543" w:rsidRPr="00B80543">
        <w:rPr>
          <w:i/>
          <w:iCs/>
        </w:rPr>
        <w:t>Usages for humanist marriages</w:t>
      </w:r>
      <w:r w:rsidR="00513E8A">
        <w:t xml:space="preserve">, that </w:t>
      </w:r>
      <w:r w:rsidR="002F40AA">
        <w:t xml:space="preserve">may well give rise to questions as to whether </w:t>
      </w:r>
      <w:r w:rsidR="00AC0E01">
        <w:t xml:space="preserve">wider </w:t>
      </w:r>
      <w:r w:rsidR="002F40AA">
        <w:t xml:space="preserve">reforms </w:t>
      </w:r>
      <w:r w:rsidR="00AC0E01">
        <w:t>are necessary</w:t>
      </w:r>
      <w:r w:rsidR="000F37A5">
        <w:t xml:space="preserve"> (most obviously in relation to current requirements as to </w:t>
      </w:r>
      <w:r w:rsidR="00306771">
        <w:t xml:space="preserve">the place where </w:t>
      </w:r>
      <w:r w:rsidR="00D84AAB">
        <w:t>a</w:t>
      </w:r>
      <w:r w:rsidR="00306771">
        <w:t xml:space="preserve"> wedding may be </w:t>
      </w:r>
      <w:r w:rsidR="00195199">
        <w:t>solemnized</w:t>
      </w:r>
      <w:r w:rsidR="000F37A5">
        <w:t>)</w:t>
      </w:r>
      <w:r w:rsidR="00473C35">
        <w:t>.</w:t>
      </w:r>
      <w:r w:rsidR="00A35921">
        <w:t xml:space="preserve"> </w:t>
      </w:r>
      <w:r w:rsidR="0007552E">
        <w:t xml:space="preserve"> In</w:t>
      </w:r>
      <w:r w:rsidR="00473C35">
        <w:t xml:space="preserve"> this regard, </w:t>
      </w:r>
      <w:r w:rsidR="0007552E">
        <w:t xml:space="preserve">I </w:t>
      </w:r>
      <w:r w:rsidR="001930F1">
        <w:t xml:space="preserve">am bound to </w:t>
      </w:r>
      <w:r w:rsidR="0007552E">
        <w:t xml:space="preserve">note </w:t>
      </w:r>
      <w:r w:rsidR="00F04D74">
        <w:t xml:space="preserve">that the Law Commission </w:t>
      </w:r>
      <w:r w:rsidR="00B754C3">
        <w:t xml:space="preserve">concurred with the Government’s view, that reform </w:t>
      </w:r>
      <w:r w:rsidR="005C4AC3">
        <w:t>was needed on a wholes</w:t>
      </w:r>
      <w:r w:rsidR="00DA7645">
        <w:t>ale</w:t>
      </w:r>
      <w:r w:rsidR="005C4AC3">
        <w:t xml:space="preserve">, rather than piecemeal, basis, concluding (see paragraph 1.50 of </w:t>
      </w:r>
      <w:r w:rsidR="00F0318B">
        <w:t>the Law Commission’s Scoping Paper</w:t>
      </w:r>
      <w:r w:rsidR="005C4AC3">
        <w:t>)</w:t>
      </w:r>
      <w:r w:rsidR="00F0318B">
        <w:t xml:space="preserve">: </w:t>
      </w:r>
    </w:p>
    <w:p w14:paraId="1F23D318" w14:textId="047ED154" w:rsidR="006439D5" w:rsidRDefault="00A0357C" w:rsidP="000768DC">
      <w:pPr>
        <w:pStyle w:val="Quote"/>
      </w:pPr>
      <w:r>
        <w:t>“</w:t>
      </w:r>
      <w:r w:rsidR="006439D5">
        <w:t>… the answer cannot be simply to exercise the order-making power contained in section 14(4) of the Marriage (Same Sex Couples) Act 2013 to enable non-religious belief organisations to solemnize marriages</w:t>
      </w:r>
      <w:r w:rsidR="006222BE">
        <w:t xml:space="preserve">.  That is not to say that the law should not be reformed to accommodate marriages by non-religious belief organisations; but any steps </w:t>
      </w:r>
      <w:r w:rsidR="009058CE">
        <w:t>t</w:t>
      </w:r>
      <w:r w:rsidR="006222BE">
        <w:t>o do that need to take place alongside a broader updating of the law of marriage that seeks to address a number of long-standing problems.</w:t>
      </w:r>
      <w:r>
        <w:t>”</w:t>
      </w:r>
    </w:p>
    <w:p w14:paraId="1B930A05" w14:textId="5C3CF9D2" w:rsidR="0080289B" w:rsidRPr="0080289B" w:rsidRDefault="0080289B" w:rsidP="000768DC">
      <w:pPr>
        <w:pStyle w:val="ParaLevel1"/>
        <w:numPr>
          <w:ilvl w:val="0"/>
          <w:numId w:val="0"/>
        </w:numPr>
        <w:ind w:left="720"/>
      </w:pPr>
      <w:r>
        <w:t xml:space="preserve">(and see the fuller citation at </w:t>
      </w:r>
      <w:r w:rsidRPr="001E570B">
        <w:t>paragraph 4</w:t>
      </w:r>
      <w:r w:rsidR="001E570B">
        <w:t>2</w:t>
      </w:r>
      <w:r w:rsidR="002003DE">
        <w:t xml:space="preserve"> </w:t>
      </w:r>
      <w:r>
        <w:t>above)</w:t>
      </w:r>
    </w:p>
    <w:p w14:paraId="578392C4" w14:textId="114F38AB" w:rsidR="00F4413F" w:rsidRDefault="00612E04" w:rsidP="000768DC">
      <w:pPr>
        <w:pStyle w:val="ParaLevel1"/>
      </w:pPr>
      <w:r>
        <w:t>I remind myself that t</w:t>
      </w:r>
      <w:r w:rsidR="0080289B">
        <w:t xml:space="preserve">he Claimants’ challenge is to the </w:t>
      </w:r>
      <w:r w:rsidR="00A656B2">
        <w:t>Defendant’s continuing failure to provide for state recognition of humanist marriages</w:t>
      </w:r>
      <w:r w:rsidR="00344C80">
        <w:t xml:space="preserve">, </w:t>
      </w:r>
      <w:r w:rsidR="00800363">
        <w:t xml:space="preserve">notwithstanding </w:t>
      </w:r>
      <w:r w:rsidR="0061009A">
        <w:t xml:space="preserve">the power afforded to him under section 14(4) of the 2013 Act.  </w:t>
      </w:r>
      <w:r w:rsidR="00B574BE">
        <w:t xml:space="preserve">Any </w:t>
      </w:r>
      <w:r w:rsidR="003478D7">
        <w:t>omission</w:t>
      </w:r>
      <w:r w:rsidR="00B574BE">
        <w:t xml:space="preserve"> on the Defendant’s part</w:t>
      </w:r>
      <w:r w:rsidR="003478D7">
        <w:t xml:space="preserve"> has, however, to be seen </w:t>
      </w:r>
      <w:r w:rsidR="00E84AEF">
        <w:t xml:space="preserve">both </w:t>
      </w:r>
      <w:r w:rsidR="00800363">
        <w:t xml:space="preserve">in the light of the Government’s considered response to </w:t>
      </w:r>
      <w:r w:rsidR="00724CB6">
        <w:t xml:space="preserve">the </w:t>
      </w:r>
      <w:r w:rsidR="00B63C2D" w:rsidRPr="00173E0A">
        <w:rPr>
          <w:i/>
          <w:color w:val="000000"/>
          <w:szCs w:val="24"/>
          <w:lang w:eastAsia="en-GB"/>
        </w:rPr>
        <w:t>Marriages by Non-Religious Belief Organisations</w:t>
      </w:r>
      <w:r w:rsidR="00B63C2D">
        <w:t xml:space="preserve"> </w:t>
      </w:r>
      <w:r w:rsidR="00724CB6">
        <w:t xml:space="preserve">consultation </w:t>
      </w:r>
      <w:r w:rsidR="00B63C2D">
        <w:t>in 2014 (see</w:t>
      </w:r>
      <w:r w:rsidR="00527BB8">
        <w:t xml:space="preserve"> the </w:t>
      </w:r>
      <w:r w:rsidR="003721A9">
        <w:t>summary</w:t>
      </w:r>
      <w:r w:rsidR="00527BB8">
        <w:t xml:space="preserve"> at paragraphs</w:t>
      </w:r>
      <w:r w:rsidR="001E570B">
        <w:t xml:space="preserve"> </w:t>
      </w:r>
      <w:r w:rsidR="008055DE">
        <w:t>40-41</w:t>
      </w:r>
      <w:r w:rsidR="00527BB8">
        <w:t xml:space="preserve"> above)</w:t>
      </w:r>
      <w:r w:rsidR="00E84AEF">
        <w:t xml:space="preserve"> and </w:t>
      </w:r>
      <w:r w:rsidR="006E5670">
        <w:t>the conclusions reached by the Law Commission</w:t>
      </w:r>
      <w:r w:rsidR="002C73FA">
        <w:t>.  Given</w:t>
      </w:r>
      <w:proofErr w:type="gramStart"/>
      <w:r w:rsidR="002C73FA">
        <w:t xml:space="preserve">, in particular, </w:t>
      </w:r>
      <w:r w:rsidR="004E536E">
        <w:t>the</w:t>
      </w:r>
      <w:proofErr w:type="gramEnd"/>
      <w:r w:rsidR="003A59D8">
        <w:t xml:space="preserve"> recommendations </w:t>
      </w:r>
      <w:r w:rsidR="00867D46">
        <w:t xml:space="preserve">made in </w:t>
      </w:r>
      <w:r w:rsidR="002C73FA">
        <w:t>the Law Commission’s</w:t>
      </w:r>
      <w:r w:rsidR="00867D46">
        <w:t xml:space="preserve"> </w:t>
      </w:r>
      <w:r w:rsidR="003A59D8">
        <w:t>Scoping Paper</w:t>
      </w:r>
      <w:r w:rsidR="006E5670">
        <w:t xml:space="preserve">, </w:t>
      </w:r>
      <w:r w:rsidR="003A59D8">
        <w:t xml:space="preserve">I am prepared to accept that the Defendant has </w:t>
      </w:r>
      <w:r w:rsidR="000969D5">
        <w:t xml:space="preserve">demonstrated a legitimate aim </w:t>
      </w:r>
      <w:r w:rsidR="00451AF2">
        <w:t>in</w:t>
      </w:r>
      <w:r w:rsidR="0063188C">
        <w:t xml:space="preserve"> </w:t>
      </w:r>
      <w:r w:rsidR="005B26AE">
        <w:t xml:space="preserve">seeking to </w:t>
      </w:r>
      <w:r w:rsidR="00451AF2">
        <w:t xml:space="preserve">address this </w:t>
      </w:r>
      <w:r w:rsidR="00F46E53">
        <w:t>issue as part of a wider reform</w:t>
      </w:r>
      <w:r w:rsidR="004A6BF3">
        <w:t>.</w:t>
      </w:r>
      <w:r w:rsidR="006B2CE3">
        <w:t xml:space="preserve">  </w:t>
      </w:r>
      <w:r w:rsidR="00157C81">
        <w:t>Moreover, t</w:t>
      </w:r>
      <w:r w:rsidR="006B2CE3">
        <w:t xml:space="preserve">he measure adopted </w:t>
      </w:r>
      <w:r w:rsidR="006406BE">
        <w:t>– essentially to maintain the existing differences in treatment arising from the 1949 Act</w:t>
      </w:r>
      <w:r w:rsidR="002F0BC2">
        <w:t xml:space="preserve"> until that reform takes place</w:t>
      </w:r>
      <w:r w:rsidR="006406BE">
        <w:t xml:space="preserve"> </w:t>
      </w:r>
      <w:r w:rsidR="00062933">
        <w:t>–</w:t>
      </w:r>
      <w:r w:rsidR="006406BE">
        <w:t xml:space="preserve"> </w:t>
      </w:r>
      <w:r w:rsidR="00062933">
        <w:t>is rationally connected to that aim</w:t>
      </w:r>
      <w:r w:rsidR="00624314">
        <w:t xml:space="preserve">.  </w:t>
      </w:r>
    </w:p>
    <w:p w14:paraId="6727AC1A" w14:textId="05355F2D" w:rsidR="001F6EBD" w:rsidRPr="00993981" w:rsidRDefault="00BD13FE" w:rsidP="000768DC">
      <w:pPr>
        <w:pStyle w:val="ParaLevel1"/>
        <w:numPr>
          <w:ilvl w:val="0"/>
          <w:numId w:val="0"/>
        </w:numPr>
        <w:rPr>
          <w:i/>
          <w:iCs/>
        </w:rPr>
      </w:pPr>
      <w:bookmarkStart w:id="31" w:name="less_instrucive_means"/>
      <w:r>
        <w:rPr>
          <w:i/>
          <w:iCs/>
        </w:rPr>
        <w:t>Less Intrusive Means</w:t>
      </w:r>
    </w:p>
    <w:bookmarkEnd w:id="31"/>
    <w:p w14:paraId="4D500441" w14:textId="419E88D3" w:rsidR="00D0386B" w:rsidRDefault="00FE02E6" w:rsidP="000768DC">
      <w:pPr>
        <w:pStyle w:val="ParaLevel1"/>
      </w:pPr>
      <w:r>
        <w:t xml:space="preserve">If I am right </w:t>
      </w:r>
      <w:r w:rsidR="00D0386B">
        <w:t>in my conclusion</w:t>
      </w:r>
      <w:r w:rsidR="009554B2">
        <w:t>s</w:t>
      </w:r>
      <w:r w:rsidR="00D0386B">
        <w:t xml:space="preserve"> on legitimate aim</w:t>
      </w:r>
      <w:r w:rsidR="009554B2">
        <w:t xml:space="preserve"> and rational connection</w:t>
      </w:r>
      <w:r w:rsidR="00D0386B">
        <w:t xml:space="preserve">, </w:t>
      </w:r>
      <w:r w:rsidR="00A643D5">
        <w:t xml:space="preserve">the </w:t>
      </w:r>
      <w:r w:rsidR="009554B2">
        <w:t xml:space="preserve">next question is whether the measure adopted </w:t>
      </w:r>
      <w:r w:rsidR="00B673F3">
        <w:t xml:space="preserve">does no more than </w:t>
      </w:r>
      <w:r w:rsidR="00B2125E">
        <w:t>would be</w:t>
      </w:r>
      <w:r w:rsidR="00B673F3">
        <w:t xml:space="preserve"> necessary to accomplish the aim in question</w:t>
      </w:r>
      <w:r w:rsidR="00491BEC">
        <w:t xml:space="preserve">?  </w:t>
      </w:r>
    </w:p>
    <w:p w14:paraId="72DA5136" w14:textId="5C5ED935" w:rsidR="00D04349" w:rsidRDefault="005D09F5" w:rsidP="000768DC">
      <w:pPr>
        <w:pStyle w:val="ParaLevel1"/>
      </w:pPr>
      <w:r>
        <w:t xml:space="preserve">On this point, the Claimants </w:t>
      </w:r>
      <w:r w:rsidR="00DF76F5">
        <w:t xml:space="preserve">contend that an alternative, less discriminatory measure is already provided to the Defendant by means of the </w:t>
      </w:r>
      <w:r w:rsidR="00D03BD6">
        <w:t xml:space="preserve">power afforded him under section 14(4) of the 2013 Act.  The difficulty with that objection is that it </w:t>
      </w:r>
      <w:r w:rsidR="003D65C6">
        <w:t xml:space="preserve">does not engage with the </w:t>
      </w:r>
      <w:r w:rsidR="003455FC">
        <w:t xml:space="preserve">Law Commission’s conclusion </w:t>
      </w:r>
      <w:r w:rsidR="00524A8A">
        <w:t xml:space="preserve">(acknowledging the difficulties identified in the Government’s response to the 2014 consultation) </w:t>
      </w:r>
      <w:r w:rsidR="003455FC">
        <w:t>that this</w:t>
      </w:r>
      <w:r w:rsidR="0024711D">
        <w:t xml:space="preserve"> power is</w:t>
      </w:r>
      <w:r w:rsidR="00825895">
        <w:t xml:space="preserve"> not</w:t>
      </w:r>
      <w:r w:rsidR="00CE464D">
        <w:t xml:space="preserve">, of itself, </w:t>
      </w:r>
      <w:r w:rsidR="00633195">
        <w:t xml:space="preserve">able to address the issues raised </w:t>
      </w:r>
      <w:r w:rsidR="003A2999">
        <w:t>if</w:t>
      </w:r>
      <w:r w:rsidR="00635769">
        <w:t xml:space="preserve"> any</w:t>
      </w:r>
      <w:r w:rsidR="00633195">
        <w:t xml:space="preserve"> </w:t>
      </w:r>
      <w:r w:rsidR="000E00FF">
        <w:t xml:space="preserve">reform be limited </w:t>
      </w:r>
      <w:r w:rsidR="00E83BDC">
        <w:t xml:space="preserve">to </w:t>
      </w:r>
      <w:r w:rsidR="000E00FF">
        <w:t xml:space="preserve">the </w:t>
      </w:r>
      <w:r w:rsidR="00E83BDC">
        <w:t xml:space="preserve">legal recognition of </w:t>
      </w:r>
      <w:r w:rsidR="009E120F">
        <w:t>marriage according to non-religious belief systems.</w:t>
      </w:r>
      <w:r w:rsidR="00524A8A">
        <w:t xml:space="preserve">  </w:t>
      </w:r>
      <w:r w:rsidR="009E120F">
        <w:t xml:space="preserve"> </w:t>
      </w:r>
    </w:p>
    <w:p w14:paraId="4FB7579A" w14:textId="69012AAB" w:rsidR="006E1C06" w:rsidRDefault="0024711D" w:rsidP="000768DC">
      <w:pPr>
        <w:pStyle w:val="ParaLevel1"/>
      </w:pPr>
      <w:r>
        <w:t xml:space="preserve">That said, I am concerned that </w:t>
      </w:r>
      <w:r w:rsidR="00A40122">
        <w:t xml:space="preserve">there have been delays in the </w:t>
      </w:r>
      <w:r w:rsidR="00D604E6">
        <w:t>Defendant’s response</w:t>
      </w:r>
      <w:r w:rsidR="00714BF9">
        <w:t xml:space="preserve">.  In </w:t>
      </w:r>
      <w:r w:rsidR="00F94E2E">
        <w:t xml:space="preserve">2017, the explanation for taking no action </w:t>
      </w:r>
      <w:r w:rsidR="00E30353">
        <w:t xml:space="preserve">was stated to relate to other pressures in the family justice system </w:t>
      </w:r>
      <w:r w:rsidR="007E6F42">
        <w:t xml:space="preserve">(see the letter from the Minister of Justice of </w:t>
      </w:r>
      <w:r w:rsidR="001C5952">
        <w:t xml:space="preserve">11 September 2017), </w:t>
      </w:r>
      <w:r w:rsidR="007E6F42">
        <w:lastRenderedPageBreak/>
        <w:t xml:space="preserve">but </w:t>
      </w:r>
      <w:r w:rsidR="001E2D4C">
        <w:t xml:space="preserve">there must be a question as to whether the Defendant </w:t>
      </w:r>
      <w:r w:rsidR="007F37AB">
        <w:t xml:space="preserve">could have mitigated against the continuing discriminatory impact of the law by </w:t>
      </w:r>
      <w:r w:rsidR="00642608">
        <w:t>moving more quickly.</w:t>
      </w:r>
      <w:r w:rsidR="006E1C06">
        <w:t xml:space="preserve">  This is something that seems to me to be relevant when considering the final question</w:t>
      </w:r>
      <w:r w:rsidR="005415E9">
        <w:t xml:space="preserve"> identified in </w:t>
      </w:r>
      <w:proofErr w:type="spellStart"/>
      <w:r w:rsidR="005415E9" w:rsidRPr="0053237B">
        <w:rPr>
          <w:i/>
          <w:iCs/>
        </w:rPr>
        <w:t>Tigere</w:t>
      </w:r>
      <w:proofErr w:type="spellEnd"/>
      <w:r w:rsidR="005415E9">
        <w:t xml:space="preserve">: whether the Defendant has demonstrated that a fair balance has been struck, allowing for the </w:t>
      </w:r>
      <w:r w:rsidR="0053237B">
        <w:t>degree of deference due in matters of social policy?</w:t>
      </w:r>
    </w:p>
    <w:p w14:paraId="2DE64742" w14:textId="123DA064" w:rsidR="000B4399" w:rsidRPr="000B4399" w:rsidRDefault="000B4399" w:rsidP="000768DC">
      <w:pPr>
        <w:pStyle w:val="ParaLevel1"/>
        <w:numPr>
          <w:ilvl w:val="0"/>
          <w:numId w:val="0"/>
        </w:numPr>
        <w:rPr>
          <w:i/>
          <w:iCs/>
        </w:rPr>
      </w:pPr>
      <w:bookmarkStart w:id="32" w:name="fair_balance"/>
      <w:r w:rsidRPr="000B4399">
        <w:rPr>
          <w:i/>
          <w:iCs/>
        </w:rPr>
        <w:t>Fair Balance</w:t>
      </w:r>
    </w:p>
    <w:bookmarkEnd w:id="32"/>
    <w:p w14:paraId="6B9D5B3A" w14:textId="2955021B" w:rsidR="00D86074" w:rsidRDefault="00F45F3B" w:rsidP="000768DC">
      <w:pPr>
        <w:pStyle w:val="ParaLevel1"/>
      </w:pPr>
      <w:r>
        <w:t xml:space="preserve">On a claim pursuant to article 14 ECHR, it is for the court to determine whether the difference in treatment </w:t>
      </w:r>
      <w:r w:rsidR="008C7CF1">
        <w:t>is justified</w:t>
      </w:r>
      <w:r w:rsidR="00C33C03">
        <w:t>.</w:t>
      </w:r>
      <w:r w:rsidR="008C7CF1">
        <w:t xml:space="preserve">  That said, where</w:t>
      </w:r>
      <w:r w:rsidR="00410D5C">
        <w:t xml:space="preserve"> – as here -</w:t>
      </w:r>
      <w:r w:rsidR="008C7CF1">
        <w:t xml:space="preserve"> </w:t>
      </w:r>
      <w:r w:rsidR="00410D5C">
        <w:t xml:space="preserve">the decision under challenge </w:t>
      </w:r>
      <w:r w:rsidR="006C3349">
        <w:t xml:space="preserve">clearly </w:t>
      </w:r>
      <w:r w:rsidR="00410D5C">
        <w:t>relates to a matter of social policy</w:t>
      </w:r>
      <w:r w:rsidR="00EE5A6B">
        <w:t xml:space="preserve">, the court must afford a measure of latitude to the </w:t>
      </w:r>
      <w:r w:rsidR="006C3349">
        <w:t>democratically elected</w:t>
      </w:r>
      <w:r w:rsidR="003D41C7">
        <w:t>, and duly accountable,</w:t>
      </w:r>
      <w:r w:rsidR="006C3349">
        <w:t xml:space="preserve"> </w:t>
      </w:r>
      <w:r w:rsidR="00EE5A6B">
        <w:t>primary decision maker</w:t>
      </w:r>
      <w:r w:rsidR="00A91F2E">
        <w:t>.</w:t>
      </w:r>
      <w:r w:rsidR="00F3477F">
        <w:t xml:space="preserve">  I have, however, found that there is a continuing </w:t>
      </w:r>
      <w:r w:rsidR="000B74B8">
        <w:t>discriminatory impact upon those who seek to manifest</w:t>
      </w:r>
      <w:r w:rsidR="00AD0D3C">
        <w:t xml:space="preserve"> their</w:t>
      </w:r>
      <w:r w:rsidR="000B74B8">
        <w:t xml:space="preserve"> humanist beliefs </w:t>
      </w:r>
      <w:r w:rsidR="00AD0D3C">
        <w:t>through marriage</w:t>
      </w:r>
      <w:r w:rsidR="000D47B5">
        <w:t xml:space="preserve"> -</w:t>
      </w:r>
      <w:r w:rsidR="00D86074">
        <w:t xml:space="preserve"> something that amounts to more than falling “</w:t>
      </w:r>
      <w:r w:rsidR="00D86074" w:rsidRPr="000D47B5">
        <w:rPr>
          <w:i/>
          <w:iCs/>
        </w:rPr>
        <w:t>just, within the ambit of article 9 of the ECHR</w:t>
      </w:r>
      <w:r w:rsidR="00D86074">
        <w:t>”</w:t>
      </w:r>
      <w:r w:rsidR="000D47B5">
        <w:t xml:space="preserve"> (to use the language of the Defendant’s concession) – and that </w:t>
      </w:r>
      <w:r w:rsidR="005E1A08">
        <w:t>will reduce the margin of judgment</w:t>
      </w:r>
      <w:r w:rsidR="00650E63">
        <w:t>,</w:t>
      </w:r>
      <w:r w:rsidR="005E1A08">
        <w:t xml:space="preserve"> and, therefore, the degree of deference</w:t>
      </w:r>
      <w:r w:rsidR="00650E63">
        <w:t>, to be allowed</w:t>
      </w:r>
      <w:r w:rsidR="005E1A08">
        <w:t xml:space="preserve">.  </w:t>
      </w:r>
      <w:r w:rsidR="00034258">
        <w:t>Whilst</w:t>
      </w:r>
      <w:r w:rsidR="005E1A08">
        <w:t xml:space="preserve"> article 9 ECHR is a qualified right</w:t>
      </w:r>
      <w:r w:rsidR="009B6F3E">
        <w:t>,</w:t>
      </w:r>
      <w:r w:rsidR="005E1A08">
        <w:t xml:space="preserve"> </w:t>
      </w:r>
      <w:r w:rsidR="00BF6EC8">
        <w:t>and the discrimination</w:t>
      </w:r>
      <w:r w:rsidR="006F7256">
        <w:t xml:space="preserve"> in issue</w:t>
      </w:r>
      <w:r w:rsidR="00BF6EC8">
        <w:t xml:space="preserve"> is not on </w:t>
      </w:r>
      <w:r w:rsidR="00E052AA">
        <w:t>one of the “suspect grounds”</w:t>
      </w:r>
      <w:r w:rsidR="007F054A">
        <w:t xml:space="preserve"> (race, sex or sexual orientation)</w:t>
      </w:r>
      <w:r w:rsidR="009B6F3E">
        <w:t>, the deference to be afforded to the Defendant in this area of</w:t>
      </w:r>
      <w:r w:rsidR="00885FBF">
        <w:t xml:space="preserve"> social policy </w:t>
      </w:r>
      <w:r w:rsidR="00F943B6">
        <w:t xml:space="preserve">does not simply trump </w:t>
      </w:r>
      <w:r w:rsidR="009936CB">
        <w:t>questions of discrimination.</w:t>
      </w:r>
    </w:p>
    <w:p w14:paraId="160B7373" w14:textId="26C2680C" w:rsidR="0006241B" w:rsidRDefault="00E1015A" w:rsidP="000768DC">
      <w:pPr>
        <w:pStyle w:val="ParaLevel1"/>
      </w:pPr>
      <w:r>
        <w:t xml:space="preserve">As I have found, the discrimination suffered by the Claimants </w:t>
      </w:r>
      <w:r w:rsidR="00A8608E">
        <w:t xml:space="preserve">is real: the difference of treatment they experience in seeking to manifest their humanist beliefs </w:t>
      </w:r>
      <w:r w:rsidR="009455F9">
        <w:t xml:space="preserve">through the ceremony of marriage is </w:t>
      </w:r>
      <w:r w:rsidR="00126824">
        <w:t>a matter of substance</w:t>
      </w:r>
      <w:r w:rsidR="00EB4456">
        <w:t>,</w:t>
      </w:r>
      <w:r w:rsidR="00126824">
        <w:t xml:space="preserve"> not </w:t>
      </w:r>
      <w:r w:rsidR="00EB4456">
        <w:t xml:space="preserve">merely one of </w:t>
      </w:r>
      <w:r w:rsidR="00126824">
        <w:t>form.  T</w:t>
      </w:r>
      <w:r w:rsidR="00621844">
        <w:t xml:space="preserve">he only question is whether </w:t>
      </w:r>
      <w:r w:rsidR="00AE3EC9">
        <w:t>that discriminatory treatment can be justified by the</w:t>
      </w:r>
      <w:r w:rsidR="003905DF">
        <w:t xml:space="preserve"> Defendant’s stated concern to address </w:t>
      </w:r>
      <w:r w:rsidR="00FC16EF">
        <w:t>this as part of a wider reform of the law of marriage in this country</w:t>
      </w:r>
      <w:r w:rsidR="00382AE1">
        <w:t xml:space="preserve">, albeit there remains </w:t>
      </w:r>
      <w:r w:rsidR="00657247">
        <w:t xml:space="preserve">no certainty </w:t>
      </w:r>
      <w:r w:rsidR="00A15D7D">
        <w:t xml:space="preserve">as to when </w:t>
      </w:r>
      <w:r w:rsidR="007C04A4">
        <w:t>th</w:t>
      </w:r>
      <w:r w:rsidR="009C0C1B">
        <w:t>at</w:t>
      </w:r>
      <w:r w:rsidR="007C04A4">
        <w:t xml:space="preserve"> law may be </w:t>
      </w:r>
      <w:r w:rsidR="00E57568">
        <w:t xml:space="preserve">changed </w:t>
      </w:r>
      <w:proofErr w:type="gramStart"/>
      <w:r w:rsidR="00E57568">
        <w:t>so as to</w:t>
      </w:r>
      <w:proofErr w:type="gramEnd"/>
      <w:r w:rsidR="00E57568">
        <w:t xml:space="preserve"> remove the adverse impact of which the Claimants complain</w:t>
      </w:r>
      <w:r w:rsidR="002B4AF6">
        <w:t xml:space="preserve">. </w:t>
      </w:r>
      <w:r w:rsidR="00FE7274">
        <w:t xml:space="preserve"> </w:t>
      </w:r>
    </w:p>
    <w:p w14:paraId="0831424B" w14:textId="0AE42400" w:rsidR="00997AEC" w:rsidRDefault="0006241B" w:rsidP="000768DC">
      <w:pPr>
        <w:pStyle w:val="ParaLevel1"/>
      </w:pPr>
      <w:r>
        <w:t xml:space="preserve">The Claimants are entitled to question the Defendant’s response, both in terms of </w:t>
      </w:r>
      <w:r w:rsidR="00D83E13">
        <w:t xml:space="preserve">the time taken and given the position adopted in these proceedings: </w:t>
      </w:r>
      <w:r w:rsidR="00F53AAC">
        <w:t xml:space="preserve">the denial of </w:t>
      </w:r>
      <w:r w:rsidR="00D83E13">
        <w:t>any diff</w:t>
      </w:r>
      <w:r w:rsidR="00F53AAC">
        <w:t xml:space="preserve">erence in treatment </w:t>
      </w:r>
      <w:r w:rsidR="000A4766">
        <w:t xml:space="preserve">is unlikely to have </w:t>
      </w:r>
      <w:r w:rsidR="006541C4">
        <w:t>given</w:t>
      </w:r>
      <w:r w:rsidR="00F53AAC">
        <w:t xml:space="preserve"> the Claimants </w:t>
      </w:r>
      <w:r w:rsidR="00077551">
        <w:t xml:space="preserve">confidence in the </w:t>
      </w:r>
      <w:r w:rsidR="006672A0">
        <w:t xml:space="preserve">Defendant’s </w:t>
      </w:r>
      <w:r w:rsidR="00077551">
        <w:t xml:space="preserve">commitment to </w:t>
      </w:r>
      <w:r w:rsidR="003771E6">
        <w:t>reform</w:t>
      </w:r>
      <w:r w:rsidR="000A4766">
        <w:t xml:space="preserve">.  That said, since October 2018, the Government has </w:t>
      </w:r>
      <w:r w:rsidR="009774DA">
        <w:t>returned to th</w:t>
      </w:r>
      <w:r w:rsidR="00DF5BEA">
        <w:t>is issue and has asked the Law Commission to undertake a review of the law on how and where people can marry</w:t>
      </w:r>
      <w:r w:rsidR="007041F4">
        <w:t>.  The Law Commission’s work has been delayed due to the Covid-19 pandemic but there is no reason to think that the public consultation exercise will not take place later this year</w:t>
      </w:r>
      <w:r w:rsidR="00997AEC">
        <w:t>.</w:t>
      </w:r>
    </w:p>
    <w:p w14:paraId="4D818AFE" w14:textId="18BEA4D1" w:rsidR="008E7BDB" w:rsidRDefault="009F3B2B" w:rsidP="000768DC">
      <w:pPr>
        <w:pStyle w:val="ParaLevel1"/>
      </w:pPr>
      <w:r>
        <w:t xml:space="preserve">The Claimants complain that the Law Commission has not been asked to consider the question whether or not the </w:t>
      </w:r>
      <w:r w:rsidR="00D50791">
        <w:t xml:space="preserve">current law on marriage discriminates against those who adhere to a non-religious belief system but </w:t>
      </w:r>
      <w:r w:rsidR="00D32762">
        <w:t xml:space="preserve">that, of course, has been the question at the heart of these proceedings and, contrary to the </w:t>
      </w:r>
      <w:r w:rsidR="00917C14">
        <w:t xml:space="preserve">Defendant’s case, I have found that – subject </w:t>
      </w:r>
      <w:r w:rsidR="003261E7" w:rsidRPr="00940BA3">
        <w:rPr>
          <w:i/>
          <w:iCs/>
        </w:rPr>
        <w:t>only</w:t>
      </w:r>
      <w:r w:rsidR="003261E7">
        <w:t xml:space="preserve"> </w:t>
      </w:r>
      <w:r w:rsidR="00917C14">
        <w:t>to the question of justification – the</w:t>
      </w:r>
      <w:r w:rsidR="00F52814">
        <w:t xml:space="preserve"> present law gives rise to article 14 discrimination in the </w:t>
      </w:r>
      <w:r w:rsidR="008E7BDB">
        <w:t>Claimants’ enjoyment of their article 9 rights</w:t>
      </w:r>
      <w:r w:rsidR="00D32762">
        <w:t xml:space="preserve">. </w:t>
      </w:r>
    </w:p>
    <w:p w14:paraId="24874F07" w14:textId="53A600D2" w:rsidR="00826609" w:rsidRDefault="00D32762" w:rsidP="000768DC">
      <w:pPr>
        <w:pStyle w:val="ParaLevel1"/>
      </w:pPr>
      <w:r>
        <w:t xml:space="preserve"> </w:t>
      </w:r>
      <w:r w:rsidR="005837F1">
        <w:t xml:space="preserve">On one view, the </w:t>
      </w:r>
      <w:r w:rsidR="00277B39">
        <w:t xml:space="preserve">aim pursued by the Defendant – </w:t>
      </w:r>
      <w:r w:rsidR="00D76980">
        <w:t xml:space="preserve">not to engage in piecemeal </w:t>
      </w:r>
      <w:r w:rsidR="002A2193">
        <w:t>change</w:t>
      </w:r>
      <w:r w:rsidR="007F74DD">
        <w:t xml:space="preserve"> in this area </w:t>
      </w:r>
      <w:r w:rsidR="006F7090">
        <w:t xml:space="preserve">– might </w:t>
      </w:r>
      <w:proofErr w:type="gramStart"/>
      <w:r w:rsidR="006F7090">
        <w:t>be seen as</w:t>
      </w:r>
      <w:proofErr w:type="gramEnd"/>
      <w:r w:rsidR="006F7090">
        <w:t xml:space="preserve"> </w:t>
      </w:r>
      <w:r w:rsidR="00502EBF">
        <w:t xml:space="preserve">seeking tolerance of </w:t>
      </w:r>
      <w:r w:rsidR="00935D2D">
        <w:t xml:space="preserve">on-going discrimination while a decision is made as to how </w:t>
      </w:r>
      <w:r w:rsidR="0024260B">
        <w:t xml:space="preserve">to </w:t>
      </w:r>
      <w:r w:rsidR="0068513E">
        <w:t xml:space="preserve">reform </w:t>
      </w:r>
      <w:r w:rsidR="002A2193">
        <w:t>the law of marriage in more general terms</w:t>
      </w:r>
      <w:r w:rsidR="00C216A0">
        <w:t>; a</w:t>
      </w:r>
      <w:r w:rsidR="008D23E5">
        <w:t xml:space="preserve">n argument rejected as demonstrating objective justification in </w:t>
      </w:r>
      <w:r w:rsidR="008D23E5" w:rsidRPr="008D23E5">
        <w:rPr>
          <w:i/>
          <w:iCs/>
        </w:rPr>
        <w:t>Steinfeld</w:t>
      </w:r>
      <w:r w:rsidR="008D23E5">
        <w:t>.</w:t>
      </w:r>
      <w:r w:rsidR="007F3D7F">
        <w:t xml:space="preserve">  There is, however, a difference between the two cases</w:t>
      </w:r>
      <w:r w:rsidR="00E838E0">
        <w:t>.  I</w:t>
      </w:r>
      <w:r w:rsidR="00310D7E">
        <w:t xml:space="preserve">n </w:t>
      </w:r>
      <w:r w:rsidR="00310D7E" w:rsidRPr="00055586">
        <w:rPr>
          <w:i/>
          <w:iCs/>
        </w:rPr>
        <w:t>Steinfeld</w:t>
      </w:r>
      <w:r w:rsidR="00E838E0" w:rsidRPr="00E838E0">
        <w:t>,</w:t>
      </w:r>
      <w:r w:rsidR="00055586">
        <w:t xml:space="preserve"> </w:t>
      </w:r>
      <w:r w:rsidR="00511212">
        <w:t>remedy</w:t>
      </w:r>
      <w:r w:rsidR="005601AE">
        <w:t xml:space="preserve">ing the discrimination </w:t>
      </w:r>
      <w:r w:rsidR="006C7D68">
        <w:t xml:space="preserve">was straightforward - </w:t>
      </w:r>
      <w:r w:rsidR="00511212">
        <w:t xml:space="preserve">the </w:t>
      </w:r>
      <w:r w:rsidR="00BC1F65">
        <w:t xml:space="preserve">immediate </w:t>
      </w:r>
      <w:r w:rsidR="00511212">
        <w:t xml:space="preserve">extension of civil partnerships </w:t>
      </w:r>
      <w:r w:rsidR="000D27EE">
        <w:t xml:space="preserve">to </w:t>
      </w:r>
      <w:r w:rsidR="000D27EE">
        <w:lastRenderedPageBreak/>
        <w:t>different sex couples</w:t>
      </w:r>
      <w:r w:rsidR="00BC1F65">
        <w:t xml:space="preserve">, see per Lord Kerr at paragraph </w:t>
      </w:r>
      <w:r w:rsidR="00C0459E">
        <w:t>50</w:t>
      </w:r>
      <w:r w:rsidR="006C7D68">
        <w:t xml:space="preserve"> – </w:t>
      </w:r>
      <w:r w:rsidR="00C9630C">
        <w:t xml:space="preserve">and the aim pursued by </w:t>
      </w:r>
      <w:r w:rsidR="006C7D68">
        <w:t xml:space="preserve">the Government </w:t>
      </w:r>
      <w:r w:rsidR="005A0DE3">
        <w:t>related</w:t>
      </w:r>
      <w:r w:rsidR="00CA3887">
        <w:t xml:space="preserve"> not to </w:t>
      </w:r>
      <w:r w:rsidR="00D768AB">
        <w:t>th</w:t>
      </w:r>
      <w:r w:rsidR="00B47FF0">
        <w:t>at</w:t>
      </w:r>
      <w:r w:rsidR="00D768AB">
        <w:t xml:space="preserve"> discriminat</w:t>
      </w:r>
      <w:r w:rsidR="00D85F36">
        <w:t xml:space="preserve">ion </w:t>
      </w:r>
      <w:r w:rsidR="00D768AB">
        <w:t>but</w:t>
      </w:r>
      <w:r w:rsidR="00D85F36">
        <w:t xml:space="preserve"> </w:t>
      </w:r>
      <w:r w:rsidR="005A0DE3">
        <w:t xml:space="preserve">to </w:t>
      </w:r>
      <w:r w:rsidR="00D768AB">
        <w:t xml:space="preserve">the </w:t>
      </w:r>
      <w:r w:rsidR="005A0DE3">
        <w:t xml:space="preserve">desire to take </w:t>
      </w:r>
      <w:r w:rsidR="00E41C6A">
        <w:t xml:space="preserve">time </w:t>
      </w:r>
      <w:r w:rsidR="00E838E0">
        <w:t xml:space="preserve">to evaluate </w:t>
      </w:r>
      <w:r w:rsidR="006E7320">
        <w:t xml:space="preserve">the future of </w:t>
      </w:r>
      <w:r w:rsidR="00D85F36">
        <w:t>civil</w:t>
      </w:r>
      <w:r w:rsidR="006E7320">
        <w:t xml:space="preserve"> partnerships</w:t>
      </w:r>
      <w:r w:rsidR="00826609">
        <w:t xml:space="preserve"> in more general terms. </w:t>
      </w:r>
      <w:r w:rsidR="002C0BE4">
        <w:t xml:space="preserve"> In the present case, the </w:t>
      </w:r>
      <w:r w:rsidR="004068F2">
        <w:t xml:space="preserve">Government has identified concerns </w:t>
      </w:r>
      <w:r w:rsidR="00AA7423">
        <w:t xml:space="preserve">as to the potential consequences of </w:t>
      </w:r>
      <w:r w:rsidR="00231299">
        <w:t xml:space="preserve">addressing one </w:t>
      </w:r>
      <w:r w:rsidR="00E325B4">
        <w:t xml:space="preserve">area of unequal treatment without doing so as part of a more general </w:t>
      </w:r>
      <w:r w:rsidR="00F36DB0">
        <w:t xml:space="preserve">reform.  </w:t>
      </w:r>
      <w:r w:rsidR="00953BD2">
        <w:t>S</w:t>
      </w:r>
      <w:r w:rsidR="00760FE1">
        <w:t xml:space="preserve">pecifically, </w:t>
      </w:r>
      <w:r w:rsidR="00953BD2">
        <w:t xml:space="preserve">in relation to the </w:t>
      </w:r>
      <w:r w:rsidR="005C1B81">
        <w:t>treatment of humanist</w:t>
      </w:r>
      <w:r w:rsidR="00E158BF">
        <w:t xml:space="preserve"> and</w:t>
      </w:r>
      <w:r w:rsidR="009A7C52">
        <w:t xml:space="preserve"> other non-religious belief </w:t>
      </w:r>
      <w:r w:rsidR="005C1B81">
        <w:t xml:space="preserve">marriages, </w:t>
      </w:r>
      <w:proofErr w:type="gramStart"/>
      <w:r w:rsidR="005C1B81">
        <w:t>particular issues</w:t>
      </w:r>
      <w:proofErr w:type="gramEnd"/>
      <w:r w:rsidR="005C1B81">
        <w:t xml:space="preserve"> were identified</w:t>
      </w:r>
      <w:r w:rsidR="0085350B">
        <w:t xml:space="preserve"> relating to the </w:t>
      </w:r>
      <w:r w:rsidR="003D3544">
        <w:t>location</w:t>
      </w:r>
      <w:r w:rsidR="0085350B">
        <w:t xml:space="preserve"> where the ceremony might take place </w:t>
      </w:r>
      <w:r w:rsidR="00E158BF">
        <w:t>and</w:t>
      </w:r>
      <w:r w:rsidR="00D26854">
        <w:t>/or</w:t>
      </w:r>
      <w:r w:rsidR="00E158BF">
        <w:t xml:space="preserve"> as to the potential </w:t>
      </w:r>
      <w:r w:rsidR="00D26854">
        <w:t>registration</w:t>
      </w:r>
      <w:r w:rsidR="00E158BF">
        <w:t xml:space="preserve"> of celebrants</w:t>
      </w:r>
      <w:r w:rsidR="00A02506">
        <w:t>;</w:t>
      </w:r>
      <w:r w:rsidR="00E774B2">
        <w:t xml:space="preserve"> </w:t>
      </w:r>
      <w:r w:rsidR="00A02506">
        <w:t>t</w:t>
      </w:r>
      <w:r w:rsidR="00A36BF8">
        <w:t xml:space="preserve">hese were matters seen to </w:t>
      </w:r>
      <w:r w:rsidR="002D705F">
        <w:t>potentially give rise to</w:t>
      </w:r>
      <w:r w:rsidR="00A113B8">
        <w:t xml:space="preserve"> new species of </w:t>
      </w:r>
      <w:r w:rsidR="003D257E">
        <w:t xml:space="preserve">discrimination </w:t>
      </w:r>
      <w:r w:rsidR="002D705F">
        <w:t xml:space="preserve">if reform was only undertaken </w:t>
      </w:r>
      <w:r w:rsidR="003D257E">
        <w:t>on a piecemeal basis</w:t>
      </w:r>
      <w:r w:rsidR="00A02506">
        <w:t xml:space="preserve">.  </w:t>
      </w:r>
      <w:r w:rsidR="00687C08">
        <w:t>The legitimacy of those concerns was acknowledged by the Law Commission’s Scoping Paper</w:t>
      </w:r>
      <w:r w:rsidR="00F029ED">
        <w:t>, which also recommended that any reform be undertaken on a wholesale basis.</w:t>
      </w:r>
      <w:r w:rsidR="006F010F">
        <w:t xml:space="preserve">  While such </w:t>
      </w:r>
      <w:r w:rsidR="00934168">
        <w:t xml:space="preserve">concerns </w:t>
      </w:r>
      <w:r w:rsidR="006F010F">
        <w:t>could not</w:t>
      </w:r>
      <w:r w:rsidR="00934168">
        <w:t xml:space="preserve"> justify </w:t>
      </w:r>
      <w:r w:rsidR="00720780">
        <w:t xml:space="preserve">the </w:t>
      </w:r>
      <w:r w:rsidR="00934168">
        <w:t xml:space="preserve">taking </w:t>
      </w:r>
      <w:r w:rsidR="00720780">
        <w:t xml:space="preserve">of </w:t>
      </w:r>
      <w:r w:rsidR="00934168">
        <w:t>no action</w:t>
      </w:r>
      <w:r w:rsidR="0063276A">
        <w:t xml:space="preserve"> – the defe</w:t>
      </w:r>
      <w:r w:rsidR="00D57BD2">
        <w:t>re</w:t>
      </w:r>
      <w:r w:rsidR="0063276A">
        <w:t xml:space="preserve">nce due to the Defendant </w:t>
      </w:r>
      <w:r w:rsidR="00D40ECD">
        <w:t>cannot simply trump the discrimination</w:t>
      </w:r>
      <w:r w:rsidR="000A0B64">
        <w:t xml:space="preserve"> identified in this case</w:t>
      </w:r>
      <w:r w:rsidR="00D40ECD">
        <w:t xml:space="preserve"> -</w:t>
      </w:r>
      <w:r w:rsidR="00720780">
        <w:t xml:space="preserve"> they do </w:t>
      </w:r>
      <w:r w:rsidR="003F18B5">
        <w:t>demonstrate why this i</w:t>
      </w:r>
      <w:r w:rsidR="00E16D18">
        <w:t>s a more nuanced area of social policy</w:t>
      </w:r>
      <w:r w:rsidR="00420568">
        <w:t xml:space="preserve"> and one that </w:t>
      </w:r>
      <w:r w:rsidR="003D410E">
        <w:t xml:space="preserve">engages a wider range of </w:t>
      </w:r>
      <w:r w:rsidR="00A602C7">
        <w:t xml:space="preserve">community </w:t>
      </w:r>
      <w:r w:rsidR="003D410E">
        <w:t>interests than just those identified in these proceedings</w:t>
      </w:r>
      <w:r w:rsidR="00E16D18">
        <w:t xml:space="preserve">. </w:t>
      </w:r>
      <w:r w:rsidR="00E16302">
        <w:t xml:space="preserve"> </w:t>
      </w:r>
    </w:p>
    <w:p w14:paraId="61515A70" w14:textId="1985498F" w:rsidR="0098240E" w:rsidRDefault="0033723C" w:rsidP="000768DC">
      <w:pPr>
        <w:pStyle w:val="ParaLevel1"/>
      </w:pPr>
      <w:r>
        <w:t>In</w:t>
      </w:r>
      <w:r w:rsidR="00604784">
        <w:t xml:space="preserve"> this regard, it seems to me that the observations made by the Court of Appeal in</w:t>
      </w:r>
      <w:r>
        <w:t xml:space="preserve"> </w:t>
      </w:r>
      <w:r w:rsidR="000A0B64" w:rsidRPr="00F02D9C">
        <w:rPr>
          <w:i/>
          <w:iCs/>
        </w:rPr>
        <w:t>R (</w:t>
      </w:r>
      <w:proofErr w:type="spellStart"/>
      <w:r w:rsidR="000A0B64" w:rsidRPr="00F02D9C">
        <w:rPr>
          <w:i/>
          <w:iCs/>
        </w:rPr>
        <w:t>oao</w:t>
      </w:r>
      <w:proofErr w:type="spellEnd"/>
      <w:r w:rsidR="000A0B64" w:rsidRPr="00F02D9C">
        <w:rPr>
          <w:i/>
          <w:iCs/>
        </w:rPr>
        <w:t xml:space="preserve"> McConnell and </w:t>
      </w:r>
      <w:proofErr w:type="spellStart"/>
      <w:r w:rsidR="000A0B64" w:rsidRPr="00F02D9C">
        <w:rPr>
          <w:i/>
          <w:iCs/>
        </w:rPr>
        <w:t>anor</w:t>
      </w:r>
      <w:proofErr w:type="spellEnd"/>
      <w:r w:rsidR="000A0B64" w:rsidRPr="00F02D9C">
        <w:rPr>
          <w:i/>
          <w:iCs/>
        </w:rPr>
        <w:t>) v Registrar General for England and Wales</w:t>
      </w:r>
      <w:r w:rsidR="000A0B64">
        <w:t xml:space="preserve"> </w:t>
      </w:r>
      <w:r w:rsidR="00F02D9C">
        <w:t xml:space="preserve">[2020] </w:t>
      </w:r>
      <w:proofErr w:type="spellStart"/>
      <w:r w:rsidR="00F02D9C">
        <w:t>EWCA</w:t>
      </w:r>
      <w:proofErr w:type="spellEnd"/>
      <w:r w:rsidR="00F02D9C">
        <w:t xml:space="preserve"> </w:t>
      </w:r>
      <w:proofErr w:type="spellStart"/>
      <w:r w:rsidR="00F02D9C">
        <w:t>Civ</w:t>
      </w:r>
      <w:proofErr w:type="spellEnd"/>
      <w:r w:rsidR="00F02D9C">
        <w:t xml:space="preserve"> 559</w:t>
      </w:r>
      <w:r w:rsidR="00604784">
        <w:t xml:space="preserve"> are apposite</w:t>
      </w:r>
      <w:r w:rsidR="00F85D45">
        <w:t xml:space="preserve">, </w:t>
      </w:r>
      <w:r w:rsidR="00F02D9C">
        <w:t>i</w:t>
      </w:r>
      <w:r w:rsidR="00E55F81">
        <w:t>dentif</w:t>
      </w:r>
      <w:r w:rsidR="00F85D45">
        <w:t>ying</w:t>
      </w:r>
      <w:r w:rsidR="00E55F81">
        <w:t xml:space="preserve"> two </w:t>
      </w:r>
      <w:proofErr w:type="gramStart"/>
      <w:r w:rsidR="00E55F81">
        <w:t xml:space="preserve">particular </w:t>
      </w:r>
      <w:r w:rsidR="00663A3B">
        <w:t>considerations</w:t>
      </w:r>
      <w:proofErr w:type="gramEnd"/>
      <w:r w:rsidR="00663A3B">
        <w:t xml:space="preserve"> that will arise</w:t>
      </w:r>
      <w:r w:rsidR="00E55F81">
        <w:t xml:space="preserve"> in </w:t>
      </w:r>
      <w:r w:rsidR="00B4211F">
        <w:t xml:space="preserve">social policy </w:t>
      </w:r>
      <w:r w:rsidR="006260BE">
        <w:t xml:space="preserve">cases </w:t>
      </w:r>
      <w:r w:rsidR="00B4211F">
        <w:t>such as this</w:t>
      </w:r>
      <w:r w:rsidR="006260BE">
        <w:t xml:space="preserve">: </w:t>
      </w:r>
    </w:p>
    <w:p w14:paraId="07B6DA5A" w14:textId="23DBA9F0" w:rsidR="00E90225" w:rsidRDefault="00E90225" w:rsidP="000768DC">
      <w:pPr>
        <w:pStyle w:val="Quote"/>
      </w:pPr>
      <w:bookmarkStart w:id="33" w:name="para81"/>
      <w:r>
        <w:t xml:space="preserve">“81. </w:t>
      </w:r>
      <w:r w:rsidR="00A27A50">
        <w:t xml:space="preserve">… </w:t>
      </w:r>
      <w:r w:rsidR="008B1EA2">
        <w:t xml:space="preserve">The margin of judgement which is to be afforded to Parliament in the present context rests upon two foundations. First, there is the relative institutional competence of the courts as compared to Parliament. </w:t>
      </w:r>
      <w:bookmarkStart w:id="34" w:name="_Hlk46794308"/>
      <w:r w:rsidR="008B1EA2">
        <w:t xml:space="preserve">The court necessarily operates </w:t>
      </w:r>
      <w:proofErr w:type="gramStart"/>
      <w:r w:rsidR="008B1EA2">
        <w:t>on the basis of</w:t>
      </w:r>
      <w:proofErr w:type="gramEnd"/>
      <w:r w:rsidR="008B1EA2">
        <w:t xml:space="preserve"> relatively limited evidence, which is adduced by the parties in the context of particular litigation</w:t>
      </w:r>
      <w:bookmarkEnd w:id="34"/>
      <w:r w:rsidR="008B1EA2">
        <w:t xml:space="preserve">. Its focus is narrow and the argument is necessarily sectional. In contrast, Parliament has the means and opportunities to obtain wider information, from much wider sources. It has access to expert bodies, such as the Law Commission, which can advise it on reform of the law. It </w:t>
      </w:r>
      <w:proofErr w:type="gramStart"/>
      <w:r w:rsidR="008B1EA2">
        <w:t>is able to</w:t>
      </w:r>
      <w:proofErr w:type="gramEnd"/>
      <w:r w:rsidR="008B1EA2">
        <w:t xml:space="preserve"> act upon draft legislation, which is usually produced by the Government and often follows a public consultation exercise, in which many differing views can be advanced by members of the public. Both Government and Members of Parliament can be lobbied by anyone with an interest in the subject in hand. The political process allows legislators to acquire information to inform policy decisions from the widest possible range of opinions. </w:t>
      </w:r>
      <w:r w:rsidR="004E6F4B">
        <w:t>…</w:t>
      </w:r>
      <w:r w:rsidR="008B1EA2">
        <w:t xml:space="preserve"> If there is to be reform of the complicated, inter-linked legislation in this context, it must be for Parliament and not for this Court. </w:t>
      </w:r>
      <w:bookmarkStart w:id="35" w:name="para82"/>
      <w:bookmarkEnd w:id="33"/>
    </w:p>
    <w:p w14:paraId="1D34D664" w14:textId="54871C90" w:rsidR="008B1EA2" w:rsidRDefault="00E90225" w:rsidP="000768DC">
      <w:pPr>
        <w:pStyle w:val="Quote"/>
        <w:rPr>
          <w:lang w:eastAsia="en-GB"/>
        </w:rPr>
      </w:pPr>
      <w:r>
        <w:t xml:space="preserve">82. </w:t>
      </w:r>
      <w:r w:rsidR="008B1EA2">
        <w:t xml:space="preserve">The second foundation is that Parliament enjoys a democratic legitimacy in our society which the courts do not. </w:t>
      </w:r>
      <w:proofErr w:type="gramStart"/>
      <w:r w:rsidR="008B1EA2">
        <w:t>In particular, that</w:t>
      </w:r>
      <w:proofErr w:type="gramEnd"/>
      <w:r w:rsidR="008B1EA2">
        <w:t xml:space="preserve"> legitimises its interventions in areas of difficult or controversial social policy. That is not to say that the courts should abdicate the function required by Parliament itself to protect the rights which are conferred by the </w:t>
      </w:r>
      <w:proofErr w:type="spellStart"/>
      <w:r w:rsidR="008B1EA2">
        <w:t>HRA</w:t>
      </w:r>
      <w:proofErr w:type="spellEnd"/>
      <w:r w:rsidR="008B1EA2">
        <w:t xml:space="preserve">. The courts have their proper role to play in the careful scheme of the </w:t>
      </w:r>
      <w:proofErr w:type="spellStart"/>
      <w:r w:rsidR="008B1EA2">
        <w:t>HRA</w:t>
      </w:r>
      <w:proofErr w:type="spellEnd"/>
      <w:r w:rsidR="008B1EA2">
        <w:t xml:space="preserve">, </w:t>
      </w:r>
      <w:r w:rsidR="008B1EA2">
        <w:lastRenderedPageBreak/>
        <w:t xml:space="preserve">as Lord Bingham emphasised in </w:t>
      </w:r>
      <w:r w:rsidR="008B1EA2">
        <w:rPr>
          <w:i/>
          <w:iCs/>
        </w:rPr>
        <w:t>A v Secretary of State for the Home Department</w:t>
      </w:r>
      <w:r w:rsidR="008B1EA2">
        <w:t>, at para. 42. In appropriate cases that can include making a declaration of incompatibility under section 4 in respect of primary legislation where an incompatibility between domestic legislation and Convention rights has been established and the interpretative tool provided by section 3 does not provide a solution. Democratic legitimacy provides another basis for concluding that the courts should be slow to occupy the margin of judgement more appropriately within the preserve of Parliament.</w:t>
      </w:r>
      <w:bookmarkEnd w:id="35"/>
      <w:r w:rsidR="0044785E">
        <w:t>”</w:t>
      </w:r>
    </w:p>
    <w:p w14:paraId="7A768639" w14:textId="2F35E2C0" w:rsidR="00AF658D" w:rsidRDefault="00DF106E" w:rsidP="000768DC">
      <w:pPr>
        <w:pStyle w:val="ParaLevel1"/>
      </w:pPr>
      <w:r>
        <w:t>Although the</w:t>
      </w:r>
      <w:r w:rsidR="00AD1F13">
        <w:t xml:space="preserve"> Claimants emphasise that the</w:t>
      </w:r>
      <w:r>
        <w:t xml:space="preserve"> challenge in the present case is </w:t>
      </w:r>
      <w:r w:rsidR="00185AF0">
        <w:t>focused on the Defendant’s failure to exercise the power already afforded him by Parliament, I do not consider that</w:t>
      </w:r>
      <w:r w:rsidR="005405A5">
        <w:t xml:space="preserve"> gives rise to a material distinction in this regard.  </w:t>
      </w:r>
      <w:r w:rsidR="00B935E2">
        <w:t xml:space="preserve">The conclusion reached by the Government was that the order-making power </w:t>
      </w:r>
      <w:r w:rsidR="00E36B47">
        <w:t xml:space="preserve">granted by section 14(4) of the 2013 Act would not be sufficient given the wider reform needed.  That conclusion </w:t>
      </w:r>
      <w:r w:rsidR="00345679">
        <w:t>was informed after public consultation</w:t>
      </w:r>
      <w:r w:rsidR="008D24CE">
        <w:t>,</w:t>
      </w:r>
      <w:r w:rsidR="00345679">
        <w:t xml:space="preserve"> and </w:t>
      </w:r>
      <w:r w:rsidR="00DC3F2A">
        <w:t>has been endorsed by the Law Commission after it had carried out its own scoping exercise.</w:t>
      </w:r>
      <w:r w:rsidR="003B3AEE">
        <w:t xml:space="preserve">  </w:t>
      </w:r>
      <w:r w:rsidR="00E20F80">
        <w:t>In contrast, m</w:t>
      </w:r>
      <w:r w:rsidR="00AB2CD6">
        <w:t xml:space="preserve">y </w:t>
      </w:r>
      <w:r w:rsidR="005A18E1">
        <w:t xml:space="preserve">decision inevitably </w:t>
      </w:r>
      <w:proofErr w:type="gramStart"/>
      <w:r w:rsidR="005A18E1">
        <w:t>has to</w:t>
      </w:r>
      <w:proofErr w:type="gramEnd"/>
      <w:r w:rsidR="005A18E1">
        <w:t xml:space="preserve"> be reached on the basis of relatively limited evidence</w:t>
      </w:r>
      <w:r w:rsidR="00E20F80">
        <w:t xml:space="preserve"> and </w:t>
      </w:r>
      <w:r w:rsidR="00A33897">
        <w:t>argument</w:t>
      </w:r>
      <w:r w:rsidR="00AF658D">
        <w:t>, as adduced by the parties in this particular litigation</w:t>
      </w:r>
      <w:r w:rsidR="00FA40D8">
        <w:t xml:space="preserve">; </w:t>
      </w:r>
      <w:r w:rsidR="00F342BD">
        <w:t xml:space="preserve">it seems to me that </w:t>
      </w:r>
      <w:r w:rsidR="00FA40D8">
        <w:t xml:space="preserve">the observations made in </w:t>
      </w:r>
      <w:r w:rsidR="00FA40D8" w:rsidRPr="00FA40D8">
        <w:rPr>
          <w:i/>
          <w:iCs/>
        </w:rPr>
        <w:t>McConnell</w:t>
      </w:r>
      <w:r w:rsidR="00FA40D8">
        <w:t xml:space="preserve"> are </w:t>
      </w:r>
      <w:r w:rsidR="003B30AE">
        <w:t xml:space="preserve">undoubtedly </w:t>
      </w:r>
      <w:r w:rsidR="00FA40D8">
        <w:t>relevant to my assessment</w:t>
      </w:r>
      <w:r w:rsidR="006812C4">
        <w:t>.</w:t>
      </w:r>
    </w:p>
    <w:p w14:paraId="0859D6D7" w14:textId="78422222" w:rsidR="00FF24BB" w:rsidRDefault="00531B34" w:rsidP="000768DC">
      <w:pPr>
        <w:pStyle w:val="ParaLevel1"/>
      </w:pPr>
      <w:r>
        <w:t xml:space="preserve">The Claimants’ challenge is to the Defendant’s failure to extend legal recognition to </w:t>
      </w:r>
      <w:r w:rsidR="00AF34E6">
        <w:t xml:space="preserve">humanist </w:t>
      </w:r>
      <w:r>
        <w:t>marriages</w:t>
      </w:r>
      <w:r w:rsidR="00FF24BB">
        <w:t>.  That failure has, however, to be seen in context</w:t>
      </w:r>
      <w:r w:rsidR="0037527E">
        <w:t xml:space="preserve">.  This is an area </w:t>
      </w:r>
      <w:r w:rsidR="008F5309">
        <w:t xml:space="preserve">of social policy </w:t>
      </w:r>
      <w:r w:rsidR="0037527E">
        <w:t xml:space="preserve">where </w:t>
      </w:r>
      <w:r w:rsidR="00206B2F">
        <w:t xml:space="preserve">a margin of judgment is properly to be allowed.  </w:t>
      </w:r>
      <w:r w:rsidR="00DB330B">
        <w:t xml:space="preserve">Although that </w:t>
      </w:r>
      <w:r w:rsidR="00655278">
        <w:t>does not</w:t>
      </w:r>
      <w:r w:rsidR="00206B2F">
        <w:t xml:space="preserve"> </w:t>
      </w:r>
      <w:r w:rsidR="00922A4E">
        <w:t xml:space="preserve">mean that taking </w:t>
      </w:r>
      <w:r w:rsidR="00655278">
        <w:t>n</w:t>
      </w:r>
      <w:r w:rsidR="00922A4E">
        <w:t>o action would be justified</w:t>
      </w:r>
      <w:r w:rsidR="005409DC">
        <w:t>,</w:t>
      </w:r>
      <w:r w:rsidR="00922A4E">
        <w:t xml:space="preserve"> or that the balance might not shift </w:t>
      </w:r>
      <w:r w:rsidR="006C7500">
        <w:t>over time</w:t>
      </w:r>
      <w:r w:rsidR="0075611B">
        <w:t xml:space="preserve">, </w:t>
      </w:r>
      <w:r w:rsidR="00991706">
        <w:t xml:space="preserve">addressing </w:t>
      </w:r>
      <w:r w:rsidR="004E0CCC">
        <w:t xml:space="preserve">the differences in treatment identified by the Claimants </w:t>
      </w:r>
      <w:r w:rsidR="00F22B04">
        <w:t>would</w:t>
      </w:r>
      <w:r w:rsidR="00F53541">
        <w:t xml:space="preserve"> not</w:t>
      </w:r>
      <w:r w:rsidR="00F22B04">
        <w:t xml:space="preserve"> be</w:t>
      </w:r>
      <w:r w:rsidR="00F53541">
        <w:t xml:space="preserve"> </w:t>
      </w:r>
      <w:r w:rsidR="0042644C">
        <w:t>straightforward</w:t>
      </w:r>
      <w:r w:rsidR="006D56C2">
        <w:t xml:space="preserve"> and </w:t>
      </w:r>
      <w:r w:rsidR="00BB12D1">
        <w:t xml:space="preserve">this </w:t>
      </w:r>
      <w:r w:rsidR="006D56C2">
        <w:t xml:space="preserve">justifies </w:t>
      </w:r>
      <w:r w:rsidR="00AC4448">
        <w:t xml:space="preserve">the aim of </w:t>
      </w:r>
      <w:r w:rsidR="00046BF6">
        <w:t>considering the appropriate remedy as part of a more wholesale reform</w:t>
      </w:r>
      <w:r w:rsidR="0012691D">
        <w:t>.</w:t>
      </w:r>
      <w:r w:rsidR="0056246A">
        <w:t xml:space="preserve">  A</w:t>
      </w:r>
      <w:r w:rsidR="00461D06">
        <w:t xml:space="preserve">lthough I may </w:t>
      </w:r>
      <w:r w:rsidR="00CA632F">
        <w:t xml:space="preserve">deprecate the delay that has occurred since 2015, </w:t>
      </w:r>
      <w:r w:rsidR="00BE25BF">
        <w:t xml:space="preserve">I cannot ignore the fact that there is currently an on-going review </w:t>
      </w:r>
      <w:r w:rsidR="00B052C5">
        <w:t xml:space="preserve">of the law </w:t>
      </w:r>
      <w:r w:rsidR="008C5D3E">
        <w:t>of marriage in this country</w:t>
      </w:r>
      <w:r w:rsidR="00BE25BF">
        <w:t xml:space="preserve"> that will necessarily </w:t>
      </w:r>
      <w:r w:rsidR="00774E6E">
        <w:t>engage with</w:t>
      </w:r>
      <w:r w:rsidR="00BE25BF">
        <w:t xml:space="preserve"> </w:t>
      </w:r>
      <w:r w:rsidR="00294F00">
        <w:t xml:space="preserve">the wider concerns that have been raised. </w:t>
      </w:r>
      <w:r w:rsidR="008C5D3E">
        <w:t xml:space="preserve"> </w:t>
      </w:r>
      <w:r w:rsidR="00430FC4">
        <w:t xml:space="preserve">Given these circumstances, </w:t>
      </w:r>
      <w:proofErr w:type="gramStart"/>
      <w:r w:rsidR="00430FC4">
        <w:t>at this time</w:t>
      </w:r>
      <w:proofErr w:type="gramEnd"/>
      <w:r w:rsidR="00430FC4">
        <w:t xml:space="preserve">, the </w:t>
      </w:r>
      <w:r w:rsidR="00CF3E4F">
        <w:t xml:space="preserve">Defendant </w:t>
      </w:r>
      <w:r w:rsidR="005F73CE">
        <w:t xml:space="preserve">has </w:t>
      </w:r>
      <w:r w:rsidR="0041764D">
        <w:t xml:space="preserve">demonstrated that </w:t>
      </w:r>
      <w:r w:rsidR="0025473F">
        <w:t>a fair balance</w:t>
      </w:r>
      <w:r w:rsidR="0041764D">
        <w:t xml:space="preserve"> has been struck</w:t>
      </w:r>
      <w:r w:rsidR="0025473F">
        <w:t xml:space="preserve"> between the </w:t>
      </w:r>
      <w:r w:rsidR="00282247">
        <w:t xml:space="preserve">individual </w:t>
      </w:r>
      <w:r w:rsidR="0025473F">
        <w:t xml:space="preserve">rights of the </w:t>
      </w:r>
      <w:r w:rsidR="00282247">
        <w:t xml:space="preserve">Claimants </w:t>
      </w:r>
      <w:r w:rsidR="0025473F">
        <w:t>and th</w:t>
      </w:r>
      <w:r w:rsidR="00282247">
        <w:t>os</w:t>
      </w:r>
      <w:r w:rsidR="0025473F">
        <w:t xml:space="preserve">e of the broader community. </w:t>
      </w:r>
    </w:p>
    <w:p w14:paraId="6A846343" w14:textId="12844B15" w:rsidR="00745775" w:rsidRPr="00745775" w:rsidRDefault="00745775" w:rsidP="000768DC">
      <w:pPr>
        <w:pStyle w:val="ParaLevel1"/>
        <w:numPr>
          <w:ilvl w:val="0"/>
          <w:numId w:val="0"/>
        </w:numPr>
        <w:rPr>
          <w:b/>
          <w:bCs/>
        </w:rPr>
      </w:pPr>
      <w:bookmarkStart w:id="36" w:name="conclusion"/>
      <w:r w:rsidRPr="00745775">
        <w:rPr>
          <w:b/>
          <w:bCs/>
        </w:rPr>
        <w:t>Conclusion</w:t>
      </w:r>
    </w:p>
    <w:bookmarkEnd w:id="36"/>
    <w:p w14:paraId="569121D3" w14:textId="5B31D18C" w:rsidR="0072134E" w:rsidRDefault="006B3046" w:rsidP="000768DC">
      <w:pPr>
        <w:pStyle w:val="ParaLevel1"/>
      </w:pPr>
      <w:r>
        <w:t xml:space="preserve">Returning to the </w:t>
      </w:r>
      <w:r w:rsidR="0072134E">
        <w:t xml:space="preserve">questions identified in </w:t>
      </w:r>
      <w:r w:rsidR="0072134E" w:rsidRPr="0072134E">
        <w:rPr>
          <w:i/>
        </w:rPr>
        <w:t xml:space="preserve">R (S) v Chief Constable of South Yorkshire </w:t>
      </w:r>
      <w:r w:rsidR="0072134E" w:rsidRPr="005679ED">
        <w:t>[2004] 1 WLR 2196</w:t>
      </w:r>
      <w:r w:rsidR="00FA21B0">
        <w:t xml:space="preserve">, for the reasons </w:t>
      </w:r>
      <w:r w:rsidR="005F5F40">
        <w:t xml:space="preserve">explained, </w:t>
      </w:r>
      <w:r w:rsidR="00FA21B0">
        <w:t xml:space="preserve">I </w:t>
      </w:r>
      <w:r w:rsidR="00BC49E4">
        <w:t>find</w:t>
      </w:r>
      <w:r w:rsidR="005F5F40">
        <w:t>:</w:t>
      </w:r>
      <w:r w:rsidR="00FA21B0">
        <w:t xml:space="preserve"> (1) </w:t>
      </w:r>
      <w:r w:rsidR="005F5F40">
        <w:t xml:space="preserve">that </w:t>
      </w:r>
      <w:r w:rsidR="00FA21B0">
        <w:t>the facts of this case fall within the ambit of article 9 ECHR</w:t>
      </w:r>
      <w:r w:rsidR="007A24A9">
        <w:t xml:space="preserve">; (2) there is a difference of treatment in respect of that right between the Claimants and others put forward for comparison; (3) this </w:t>
      </w:r>
      <w:r w:rsidR="007A32D9">
        <w:t>difference is</w:t>
      </w:r>
      <w:r w:rsidR="007A24A9">
        <w:t xml:space="preserve"> on a prescribed ground under article 14 ECHR; (4) </w:t>
      </w:r>
      <w:r w:rsidR="00175658">
        <w:t xml:space="preserve">the Claimants’ comparators are </w:t>
      </w:r>
      <w:r w:rsidR="008D25F3">
        <w:t>in an analogous situation</w:t>
      </w:r>
      <w:r w:rsidR="00D535C6">
        <w:t>; but (5) the Defendant ha</w:t>
      </w:r>
      <w:r w:rsidR="009C2062">
        <w:t>s</w:t>
      </w:r>
      <w:r w:rsidR="00D535C6">
        <w:t xml:space="preserve"> demonstrated a legitimate aim in seeking to address </w:t>
      </w:r>
      <w:r w:rsidR="009C2062">
        <w:t>differences in treatment as part of a</w:t>
      </w:r>
      <w:r w:rsidR="00D35665">
        <w:t xml:space="preserve"> </w:t>
      </w:r>
      <w:r w:rsidR="009C2062">
        <w:t xml:space="preserve">wholesale reform </w:t>
      </w:r>
      <w:r w:rsidR="00B70BAB">
        <w:t xml:space="preserve">of the law of marriage </w:t>
      </w:r>
      <w:r w:rsidR="00C23B6B">
        <w:t>and</w:t>
      </w:r>
      <w:r w:rsidR="00D35665">
        <w:t>, given the on-going review,</w:t>
      </w:r>
      <w:r w:rsidR="00C23B6B">
        <w:t xml:space="preserve"> has</w:t>
      </w:r>
      <w:r w:rsidR="00D35665">
        <w:t xml:space="preserve"> -</w:t>
      </w:r>
      <w:r w:rsidR="00C23B6B">
        <w:t xml:space="preserve"> at this time</w:t>
      </w:r>
      <w:r w:rsidR="00D35665">
        <w:t xml:space="preserve"> -</w:t>
      </w:r>
      <w:r w:rsidR="00C23B6B">
        <w:t xml:space="preserve"> </w:t>
      </w:r>
      <w:r w:rsidR="00EB72A1">
        <w:t xml:space="preserve">established that a fair balance has been struck between the individual rights of the Claimants and </w:t>
      </w:r>
      <w:r w:rsidR="00026C75">
        <w:t>wider</w:t>
      </w:r>
      <w:r w:rsidR="00EB72A1">
        <w:t xml:space="preserve"> </w:t>
      </w:r>
      <w:r w:rsidR="00026C75">
        <w:t xml:space="preserve">community </w:t>
      </w:r>
      <w:r w:rsidR="008D5086">
        <w:t xml:space="preserve">interests. </w:t>
      </w:r>
      <w:r w:rsidR="00EB72A1">
        <w:t xml:space="preserve"> </w:t>
      </w:r>
    </w:p>
    <w:p w14:paraId="01EC5397" w14:textId="0102C2B9" w:rsidR="00CF3BA5" w:rsidRDefault="00745775" w:rsidP="000768DC">
      <w:pPr>
        <w:pStyle w:val="ParaLevel1"/>
      </w:pPr>
      <w:r>
        <w:t xml:space="preserve"> </w:t>
      </w:r>
      <w:r w:rsidR="00FE3D9E">
        <w:t xml:space="preserve">The </w:t>
      </w:r>
      <w:r w:rsidR="00CF3BA5">
        <w:t>claim is therefore dismissed</w:t>
      </w:r>
      <w:r w:rsidR="00A51D44">
        <w:t>.</w:t>
      </w:r>
      <w:bookmarkStart w:id="37" w:name="para181"/>
      <w:r w:rsidR="00A51D44">
        <w:t xml:space="preserve">  </w:t>
      </w:r>
      <w:r w:rsidR="00CF3BA5">
        <w:t xml:space="preserve">The parties are to endeavour to agree any outstanding points and submit a Minute of Order accordingly. If any matter cannot be resolved, </w:t>
      </w:r>
      <w:r w:rsidR="00CF3BA5">
        <w:lastRenderedPageBreak/>
        <w:t xml:space="preserve">concise written submissions are to be lodged </w:t>
      </w:r>
      <w:r w:rsidR="00A51D44">
        <w:t xml:space="preserve">within 7 days of the handing down of this Judgment </w:t>
      </w:r>
      <w:r w:rsidR="00CF3BA5">
        <w:t>and the court will then decide the matter on the papers.</w:t>
      </w:r>
      <w:bookmarkEnd w:id="37"/>
    </w:p>
    <w:sectPr w:rsidR="00CF3BA5" w:rsidSect="000768DC">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FF0A" w14:textId="77777777" w:rsidR="0012716D" w:rsidRDefault="0012716D">
      <w:r>
        <w:separator/>
      </w:r>
    </w:p>
  </w:endnote>
  <w:endnote w:type="continuationSeparator" w:id="0">
    <w:p w14:paraId="1AC12CA3" w14:textId="77777777" w:rsidR="0012716D" w:rsidRDefault="0012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erpetua">
    <w:panose1 w:val="02020502060401020303"/>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2642" w14:textId="77777777" w:rsidR="000768DC" w:rsidRDefault="0007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5999"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5B5D" w14:textId="77777777" w:rsidR="000768DC" w:rsidRDefault="000768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7356" w14:textId="27B538FF" w:rsidR="005E2342" w:rsidRPr="000768DC" w:rsidRDefault="005E2342" w:rsidP="0007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6B94E" w14:textId="77777777" w:rsidR="0012716D" w:rsidRDefault="0012716D">
      <w:r>
        <w:separator/>
      </w:r>
    </w:p>
  </w:footnote>
  <w:footnote w:type="continuationSeparator" w:id="0">
    <w:p w14:paraId="5A1A07B6" w14:textId="77777777" w:rsidR="0012716D" w:rsidRDefault="0012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01DE" w14:textId="77777777" w:rsidR="000768DC" w:rsidRDefault="00076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AC0B" w14:textId="77777777" w:rsidR="000768DC" w:rsidRDefault="00076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E605" w14:textId="77777777" w:rsidR="000768DC" w:rsidRDefault="000768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14:paraId="3F854B32" w14:textId="77777777">
      <w:tc>
        <w:tcPr>
          <w:tcW w:w="4680" w:type="dxa"/>
        </w:tcPr>
        <w:p w14:paraId="26EE0CFC" w14:textId="25FF9FEA" w:rsidR="005E2342" w:rsidRPr="000768DC" w:rsidRDefault="000768DC">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1574DE6A" w14:textId="44838720" w:rsidR="005E2342" w:rsidRDefault="00DD5E95">
          <w:pPr>
            <w:pStyle w:val="Header"/>
            <w:jc w:val="right"/>
            <w:rPr>
              <w:rFonts w:ascii="Times New Roman" w:hAnsi="Times New Roman"/>
              <w:sz w:val="16"/>
            </w:rPr>
          </w:pPr>
          <w:r>
            <w:rPr>
              <w:rFonts w:ascii="Times New Roman" w:hAnsi="Times New Roman"/>
              <w:sz w:val="16"/>
            </w:rPr>
            <w:t>HARRISON V SECRETARY OF STATE FOR JUSTICE  &amp; OTHERS</w:t>
          </w:r>
        </w:p>
      </w:tc>
    </w:tr>
  </w:tbl>
  <w:p w14:paraId="77A289F6"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E4F"/>
    <w:multiLevelType w:val="hybridMultilevel"/>
    <w:tmpl w:val="4694025A"/>
    <w:lvl w:ilvl="0" w:tplc="9C1A291C">
      <w:start w:val="28"/>
      <w:numFmt w:val="decimal"/>
      <w:lvlText w:val="%1."/>
      <w:lvlJc w:val="left"/>
      <w:pPr>
        <w:ind w:left="3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B4EFF2A">
      <w:start w:val="3"/>
      <w:numFmt w:val="lowerLetter"/>
      <w:lvlText w:val="(%2)"/>
      <w:lvlJc w:val="left"/>
      <w:pPr>
        <w:ind w:left="112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7D8F46C">
      <w:start w:val="1"/>
      <w:numFmt w:val="lowerRoman"/>
      <w:lvlText w:val="%3"/>
      <w:lvlJc w:val="left"/>
      <w:pPr>
        <w:ind w:left="221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59BE5374">
      <w:start w:val="1"/>
      <w:numFmt w:val="decimal"/>
      <w:lvlText w:val="%4"/>
      <w:lvlJc w:val="left"/>
      <w:pPr>
        <w:ind w:left="293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FDECBC4">
      <w:start w:val="1"/>
      <w:numFmt w:val="lowerLetter"/>
      <w:lvlText w:val="%5"/>
      <w:lvlJc w:val="left"/>
      <w:pPr>
        <w:ind w:left="365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8FC2AD2">
      <w:start w:val="1"/>
      <w:numFmt w:val="lowerRoman"/>
      <w:lvlText w:val="%6"/>
      <w:lvlJc w:val="left"/>
      <w:pPr>
        <w:ind w:left="437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CE62E20">
      <w:start w:val="1"/>
      <w:numFmt w:val="decimal"/>
      <w:lvlText w:val="%7"/>
      <w:lvlJc w:val="left"/>
      <w:pPr>
        <w:ind w:left="509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1FC4B34">
      <w:start w:val="1"/>
      <w:numFmt w:val="lowerLetter"/>
      <w:lvlText w:val="%8"/>
      <w:lvlJc w:val="left"/>
      <w:pPr>
        <w:ind w:left="581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2489FA2">
      <w:start w:val="1"/>
      <w:numFmt w:val="lowerRoman"/>
      <w:lvlText w:val="%9"/>
      <w:lvlJc w:val="left"/>
      <w:pPr>
        <w:ind w:left="653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3725C4"/>
    <w:multiLevelType w:val="hybridMultilevel"/>
    <w:tmpl w:val="209C6E66"/>
    <w:lvl w:ilvl="0" w:tplc="CEFAF66A">
      <w:start w:val="7"/>
      <w:numFmt w:val="decimal"/>
      <w:lvlText w:val="%1."/>
      <w:lvlJc w:val="left"/>
      <w:pPr>
        <w:ind w:left="5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630CEA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EB0D23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4A8F60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38923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02868B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52FB2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8D67D7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5225E5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99371BC"/>
    <w:multiLevelType w:val="hybridMultilevel"/>
    <w:tmpl w:val="16E6E084"/>
    <w:lvl w:ilvl="0" w:tplc="AD62F7C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F0C3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8AEA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3A04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EE10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4275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3E72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F443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34BD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3E5011"/>
    <w:multiLevelType w:val="hybridMultilevel"/>
    <w:tmpl w:val="B2DAD7EC"/>
    <w:lvl w:ilvl="0" w:tplc="25C0A670">
      <w:start w:val="3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7CF86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4EB7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1A007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E6ED5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3E3A5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2EED7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AEDA2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BA9F7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EF3633"/>
    <w:multiLevelType w:val="hybridMultilevel"/>
    <w:tmpl w:val="21200CBC"/>
    <w:lvl w:ilvl="0" w:tplc="E35CC8BC">
      <w:start w:val="4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2AF5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9020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2C7F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AE8C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2822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AE2C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FC9E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5C9C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3B31CE"/>
    <w:multiLevelType w:val="hybridMultilevel"/>
    <w:tmpl w:val="B8E479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E156C"/>
    <w:multiLevelType w:val="hybridMultilevel"/>
    <w:tmpl w:val="87DA466A"/>
    <w:lvl w:ilvl="0" w:tplc="E514B1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B1B85"/>
    <w:multiLevelType w:val="hybridMultilevel"/>
    <w:tmpl w:val="CB80805C"/>
    <w:lvl w:ilvl="0" w:tplc="D71248C2">
      <w:start w:val="7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0E7D3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C8C43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941AA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EA9E7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C8F1B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6040A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5EF58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A439E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6402F1"/>
    <w:multiLevelType w:val="hybridMultilevel"/>
    <w:tmpl w:val="0858832E"/>
    <w:lvl w:ilvl="0" w:tplc="39B073F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032B2C"/>
    <w:multiLevelType w:val="hybridMultilevel"/>
    <w:tmpl w:val="054A654C"/>
    <w:lvl w:ilvl="0" w:tplc="A8868BB8">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8651A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24403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6273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5CDC5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98514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1CDFE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32E4A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88AA2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4A1960"/>
    <w:multiLevelType w:val="hybridMultilevel"/>
    <w:tmpl w:val="268406E0"/>
    <w:lvl w:ilvl="0" w:tplc="FBC8EA6E">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ED1594"/>
    <w:multiLevelType w:val="hybridMultilevel"/>
    <w:tmpl w:val="1B30521C"/>
    <w:lvl w:ilvl="0" w:tplc="86C6CD5C">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46FC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B8FC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0AEA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02D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000F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AE84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607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E607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043163"/>
    <w:multiLevelType w:val="hybridMultilevel"/>
    <w:tmpl w:val="A5E4C296"/>
    <w:lvl w:ilvl="0" w:tplc="8FE8257C">
      <w:start w:val="3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ECF2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A495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FAE8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D2F9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5C1A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2A5B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E6FD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74BE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213694"/>
    <w:multiLevelType w:val="hybridMultilevel"/>
    <w:tmpl w:val="176E29D8"/>
    <w:lvl w:ilvl="0" w:tplc="9D22AD74">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EE567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B6755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2693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00CB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126CA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E488E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8681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DC13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B1060F"/>
    <w:multiLevelType w:val="hybridMultilevel"/>
    <w:tmpl w:val="B764EDCC"/>
    <w:lvl w:ilvl="0" w:tplc="FE8872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E2369D"/>
    <w:multiLevelType w:val="hybridMultilevel"/>
    <w:tmpl w:val="D6924AF4"/>
    <w:lvl w:ilvl="0" w:tplc="E68622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9029FA">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1239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8A9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9AC2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26EE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58DC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F22E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F4EC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791F73"/>
    <w:multiLevelType w:val="hybridMultilevel"/>
    <w:tmpl w:val="6F406A24"/>
    <w:lvl w:ilvl="0" w:tplc="78222322">
      <w:start w:val="2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6BB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2096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1632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6259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7E4E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30EB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2A36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089B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A20846"/>
    <w:multiLevelType w:val="hybridMultilevel"/>
    <w:tmpl w:val="2806D8E8"/>
    <w:lvl w:ilvl="0" w:tplc="EB62D194">
      <w:start w:val="6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80CD6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62FE1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2A320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090E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40F4A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B6F21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0AEF4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D47E7E">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9" w15:restartNumberingAfterBreak="0">
    <w:nsid w:val="627B5F76"/>
    <w:multiLevelType w:val="hybridMultilevel"/>
    <w:tmpl w:val="FE3C0A94"/>
    <w:lvl w:ilvl="0" w:tplc="168C447E">
      <w:start w:val="81"/>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8E88E7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2DA807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94D31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CB88FE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210005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892FCF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8273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1C99C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647A5CF5"/>
    <w:multiLevelType w:val="hybridMultilevel"/>
    <w:tmpl w:val="EAAEB2C2"/>
    <w:lvl w:ilvl="0" w:tplc="7114AAF6">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DE4F3A">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A09A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BA6A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7667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965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1806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E4E9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420E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FD0556C"/>
    <w:multiLevelType w:val="hybridMultilevel"/>
    <w:tmpl w:val="C45227E4"/>
    <w:lvl w:ilvl="0" w:tplc="75DAA0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146"/>
        </w:tabs>
        <w:ind w:left="1146" w:hanging="709"/>
      </w:pPr>
      <w:rPr>
        <w:rFonts w:hint="default"/>
        <w:b w:val="0"/>
        <w:i w:val="0"/>
      </w:rPr>
    </w:lvl>
    <w:lvl w:ilvl="2">
      <w:start w:val="1"/>
      <w:numFmt w:val="lowerLetter"/>
      <w:pStyle w:val="ParaLevel3"/>
      <w:lvlText w:val="%3)"/>
      <w:lvlJc w:val="left"/>
      <w:pPr>
        <w:tabs>
          <w:tab w:val="num" w:pos="1855"/>
        </w:tabs>
        <w:ind w:left="1855" w:hanging="709"/>
      </w:pPr>
      <w:rPr>
        <w:rFonts w:hint="default"/>
      </w:rPr>
    </w:lvl>
    <w:lvl w:ilvl="3">
      <w:start w:val="1"/>
      <w:numFmt w:val="lowerRoman"/>
      <w:pStyle w:val="ParaLevel4"/>
      <w:lvlText w:val="%4)"/>
      <w:lvlJc w:val="left"/>
      <w:pPr>
        <w:tabs>
          <w:tab w:val="num" w:pos="2935"/>
        </w:tabs>
        <w:ind w:left="2564" w:hanging="709"/>
      </w:pPr>
      <w:rPr>
        <w:rFonts w:hint="default"/>
      </w:rPr>
    </w:lvl>
    <w:lvl w:ilvl="4">
      <w:start w:val="1"/>
      <w:numFmt w:val="lowerLetter"/>
      <w:pStyle w:val="ParaLevel5"/>
      <w:lvlText w:val="(%5)"/>
      <w:lvlJc w:val="left"/>
      <w:pPr>
        <w:tabs>
          <w:tab w:val="num" w:pos="3273"/>
        </w:tabs>
        <w:ind w:left="3273" w:hanging="709"/>
      </w:pPr>
      <w:rPr>
        <w:rFonts w:hint="default"/>
      </w:rPr>
    </w:lvl>
    <w:lvl w:ilvl="5">
      <w:start w:val="1"/>
      <w:numFmt w:val="lowerRoman"/>
      <w:pStyle w:val="ParaLevel6"/>
      <w:lvlText w:val="(%6)"/>
      <w:lvlJc w:val="left"/>
      <w:pPr>
        <w:tabs>
          <w:tab w:val="num" w:pos="4353"/>
        </w:tabs>
        <w:ind w:left="3982" w:hanging="709"/>
      </w:pPr>
      <w:rPr>
        <w:rFonts w:hint="default"/>
      </w:rPr>
    </w:lvl>
    <w:lvl w:ilvl="6">
      <w:start w:val="1"/>
      <w:numFmt w:val="lowerLetter"/>
      <w:pStyle w:val="ParaLevel7"/>
      <w:lvlText w:val="(%7)"/>
      <w:lvlJc w:val="left"/>
      <w:pPr>
        <w:tabs>
          <w:tab w:val="num" w:pos="4691"/>
        </w:tabs>
        <w:ind w:left="4691" w:hanging="709"/>
      </w:pPr>
      <w:rPr>
        <w:rFonts w:hint="default"/>
      </w:rPr>
    </w:lvl>
    <w:lvl w:ilvl="7">
      <w:start w:val="1"/>
      <w:numFmt w:val="lowerRoman"/>
      <w:pStyle w:val="ParaLevel8"/>
      <w:lvlText w:val="(%8)"/>
      <w:lvlJc w:val="left"/>
      <w:pPr>
        <w:tabs>
          <w:tab w:val="num" w:pos="5771"/>
        </w:tabs>
        <w:ind w:left="5400" w:hanging="709"/>
      </w:pPr>
      <w:rPr>
        <w:rFonts w:hint="default"/>
      </w:rPr>
    </w:lvl>
    <w:lvl w:ilvl="8">
      <w:start w:val="1"/>
      <w:numFmt w:val="lowerLetter"/>
      <w:pStyle w:val="ParaLevel9"/>
      <w:lvlText w:val="(%9)"/>
      <w:lvlJc w:val="left"/>
      <w:pPr>
        <w:tabs>
          <w:tab w:val="num" w:pos="6109"/>
        </w:tabs>
        <w:ind w:left="6109" w:hanging="709"/>
      </w:pPr>
      <w:rPr>
        <w:rFonts w:hint="default"/>
      </w:rPr>
    </w:lvl>
  </w:abstractNum>
  <w:abstractNum w:abstractNumId="23" w15:restartNumberingAfterBreak="0">
    <w:nsid w:val="7D225B3D"/>
    <w:multiLevelType w:val="hybridMultilevel"/>
    <w:tmpl w:val="DE4A5478"/>
    <w:lvl w:ilvl="0" w:tplc="E0245FFC">
      <w:start w:val="1"/>
      <w:numFmt w:val="decimal"/>
      <w:lvlText w:val="%1"/>
      <w:lvlJc w:val="left"/>
      <w:pPr>
        <w:ind w:left="360"/>
      </w:pPr>
      <w:rPr>
        <w:rFonts w:ascii="Perpetua" w:eastAsia="Perpetua" w:hAnsi="Perpetua" w:cs="Perpetua"/>
        <w:b w:val="0"/>
        <w:i w:val="0"/>
        <w:strike w:val="0"/>
        <w:dstrike w:val="0"/>
        <w:color w:val="000000"/>
        <w:sz w:val="23"/>
        <w:szCs w:val="23"/>
        <w:u w:val="none" w:color="000000"/>
        <w:bdr w:val="none" w:sz="0" w:space="0" w:color="auto"/>
        <w:shd w:val="clear" w:color="auto" w:fill="auto"/>
        <w:vertAlign w:val="baseline"/>
      </w:rPr>
    </w:lvl>
    <w:lvl w:ilvl="1" w:tplc="A3F8FDB4">
      <w:start w:val="1"/>
      <w:numFmt w:val="lowerLetter"/>
      <w:lvlText w:val="%2"/>
      <w:lvlJc w:val="left"/>
      <w:pPr>
        <w:ind w:left="824"/>
      </w:pPr>
      <w:rPr>
        <w:rFonts w:ascii="Perpetua" w:eastAsia="Perpetua" w:hAnsi="Perpetua" w:cs="Perpetua"/>
        <w:b w:val="0"/>
        <w:i w:val="0"/>
        <w:strike w:val="0"/>
        <w:dstrike w:val="0"/>
        <w:color w:val="000000"/>
        <w:sz w:val="23"/>
        <w:szCs w:val="23"/>
        <w:u w:val="none" w:color="000000"/>
        <w:bdr w:val="none" w:sz="0" w:space="0" w:color="auto"/>
        <w:shd w:val="clear" w:color="auto" w:fill="auto"/>
        <w:vertAlign w:val="baseline"/>
      </w:rPr>
    </w:lvl>
    <w:lvl w:ilvl="2" w:tplc="81C61242">
      <w:start w:val="1"/>
      <w:numFmt w:val="lowerRoman"/>
      <w:lvlRestart w:val="0"/>
      <w:lvlText w:val="(%3)"/>
      <w:lvlJc w:val="left"/>
      <w:pPr>
        <w:ind w:left="1278"/>
      </w:pPr>
      <w:rPr>
        <w:rFonts w:ascii="Perpetua" w:eastAsia="Perpetua" w:hAnsi="Perpetua" w:cs="Perpetua"/>
        <w:b w:val="0"/>
        <w:i w:val="0"/>
        <w:strike w:val="0"/>
        <w:dstrike w:val="0"/>
        <w:color w:val="000000"/>
        <w:sz w:val="23"/>
        <w:szCs w:val="23"/>
        <w:u w:val="none" w:color="000000"/>
        <w:bdr w:val="none" w:sz="0" w:space="0" w:color="auto"/>
        <w:shd w:val="clear" w:color="auto" w:fill="auto"/>
        <w:vertAlign w:val="baseline"/>
      </w:rPr>
    </w:lvl>
    <w:lvl w:ilvl="3" w:tplc="EF1A468A">
      <w:start w:val="1"/>
      <w:numFmt w:val="decimal"/>
      <w:lvlText w:val="%4"/>
      <w:lvlJc w:val="left"/>
      <w:pPr>
        <w:ind w:left="2008"/>
      </w:pPr>
      <w:rPr>
        <w:rFonts w:ascii="Perpetua" w:eastAsia="Perpetua" w:hAnsi="Perpetua" w:cs="Perpetua"/>
        <w:b w:val="0"/>
        <w:i w:val="0"/>
        <w:strike w:val="0"/>
        <w:dstrike w:val="0"/>
        <w:color w:val="000000"/>
        <w:sz w:val="23"/>
        <w:szCs w:val="23"/>
        <w:u w:val="none" w:color="000000"/>
        <w:bdr w:val="none" w:sz="0" w:space="0" w:color="auto"/>
        <w:shd w:val="clear" w:color="auto" w:fill="auto"/>
        <w:vertAlign w:val="baseline"/>
      </w:rPr>
    </w:lvl>
    <w:lvl w:ilvl="4" w:tplc="8DB61FD8">
      <w:start w:val="1"/>
      <w:numFmt w:val="lowerLetter"/>
      <w:lvlText w:val="%5"/>
      <w:lvlJc w:val="left"/>
      <w:pPr>
        <w:ind w:left="2728"/>
      </w:pPr>
      <w:rPr>
        <w:rFonts w:ascii="Perpetua" w:eastAsia="Perpetua" w:hAnsi="Perpetua" w:cs="Perpetua"/>
        <w:b w:val="0"/>
        <w:i w:val="0"/>
        <w:strike w:val="0"/>
        <w:dstrike w:val="0"/>
        <w:color w:val="000000"/>
        <w:sz w:val="23"/>
        <w:szCs w:val="23"/>
        <w:u w:val="none" w:color="000000"/>
        <w:bdr w:val="none" w:sz="0" w:space="0" w:color="auto"/>
        <w:shd w:val="clear" w:color="auto" w:fill="auto"/>
        <w:vertAlign w:val="baseline"/>
      </w:rPr>
    </w:lvl>
    <w:lvl w:ilvl="5" w:tplc="0E308722">
      <w:start w:val="1"/>
      <w:numFmt w:val="lowerRoman"/>
      <w:lvlText w:val="%6"/>
      <w:lvlJc w:val="left"/>
      <w:pPr>
        <w:ind w:left="3448"/>
      </w:pPr>
      <w:rPr>
        <w:rFonts w:ascii="Perpetua" w:eastAsia="Perpetua" w:hAnsi="Perpetua" w:cs="Perpetua"/>
        <w:b w:val="0"/>
        <w:i w:val="0"/>
        <w:strike w:val="0"/>
        <w:dstrike w:val="0"/>
        <w:color w:val="000000"/>
        <w:sz w:val="23"/>
        <w:szCs w:val="23"/>
        <w:u w:val="none" w:color="000000"/>
        <w:bdr w:val="none" w:sz="0" w:space="0" w:color="auto"/>
        <w:shd w:val="clear" w:color="auto" w:fill="auto"/>
        <w:vertAlign w:val="baseline"/>
      </w:rPr>
    </w:lvl>
    <w:lvl w:ilvl="6" w:tplc="B6902B3C">
      <w:start w:val="1"/>
      <w:numFmt w:val="decimal"/>
      <w:lvlText w:val="%7"/>
      <w:lvlJc w:val="left"/>
      <w:pPr>
        <w:ind w:left="4168"/>
      </w:pPr>
      <w:rPr>
        <w:rFonts w:ascii="Perpetua" w:eastAsia="Perpetua" w:hAnsi="Perpetua" w:cs="Perpetua"/>
        <w:b w:val="0"/>
        <w:i w:val="0"/>
        <w:strike w:val="0"/>
        <w:dstrike w:val="0"/>
        <w:color w:val="000000"/>
        <w:sz w:val="23"/>
        <w:szCs w:val="23"/>
        <w:u w:val="none" w:color="000000"/>
        <w:bdr w:val="none" w:sz="0" w:space="0" w:color="auto"/>
        <w:shd w:val="clear" w:color="auto" w:fill="auto"/>
        <w:vertAlign w:val="baseline"/>
      </w:rPr>
    </w:lvl>
    <w:lvl w:ilvl="7" w:tplc="0868E19E">
      <w:start w:val="1"/>
      <w:numFmt w:val="lowerLetter"/>
      <w:lvlText w:val="%8"/>
      <w:lvlJc w:val="left"/>
      <w:pPr>
        <w:ind w:left="4888"/>
      </w:pPr>
      <w:rPr>
        <w:rFonts w:ascii="Perpetua" w:eastAsia="Perpetua" w:hAnsi="Perpetua" w:cs="Perpetua"/>
        <w:b w:val="0"/>
        <w:i w:val="0"/>
        <w:strike w:val="0"/>
        <w:dstrike w:val="0"/>
        <w:color w:val="000000"/>
        <w:sz w:val="23"/>
        <w:szCs w:val="23"/>
        <w:u w:val="none" w:color="000000"/>
        <w:bdr w:val="none" w:sz="0" w:space="0" w:color="auto"/>
        <w:shd w:val="clear" w:color="auto" w:fill="auto"/>
        <w:vertAlign w:val="baseline"/>
      </w:rPr>
    </w:lvl>
    <w:lvl w:ilvl="8" w:tplc="EC9A69B8">
      <w:start w:val="1"/>
      <w:numFmt w:val="lowerRoman"/>
      <w:lvlText w:val="%9"/>
      <w:lvlJc w:val="left"/>
      <w:pPr>
        <w:ind w:left="5608"/>
      </w:pPr>
      <w:rPr>
        <w:rFonts w:ascii="Perpetua" w:eastAsia="Perpetua" w:hAnsi="Perpetua" w:cs="Perpetua"/>
        <w:b w:val="0"/>
        <w:i w:val="0"/>
        <w:strike w:val="0"/>
        <w:dstrike w:val="0"/>
        <w:color w:val="000000"/>
        <w:sz w:val="23"/>
        <w:szCs w:val="23"/>
        <w:u w:val="none" w:color="000000"/>
        <w:bdr w:val="none" w:sz="0" w:space="0" w:color="auto"/>
        <w:shd w:val="clear" w:color="auto" w:fill="auto"/>
        <w:vertAlign w:val="baseline"/>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18"/>
  </w:num>
  <w:num w:numId="11">
    <w:abstractNumId w:val="6"/>
  </w:num>
  <w:num w:numId="12">
    <w:abstractNumId w:val="0"/>
  </w:num>
  <w:num w:numId="13">
    <w:abstractNumId w:val="11"/>
  </w:num>
  <w:num w:numId="14">
    <w:abstractNumId w:val="2"/>
  </w:num>
  <w:num w:numId="15">
    <w:abstractNumId w:val="13"/>
  </w:num>
  <w:num w:numId="16">
    <w:abstractNumId w:val="9"/>
  </w:num>
  <w:num w:numId="17">
    <w:abstractNumId w:val="20"/>
  </w:num>
  <w:num w:numId="18">
    <w:abstractNumId w:val="15"/>
  </w:num>
  <w:num w:numId="19">
    <w:abstractNumId w:val="19"/>
  </w:num>
  <w:num w:numId="20">
    <w:abstractNumId w:val="1"/>
  </w:num>
  <w:num w:numId="21">
    <w:abstractNumId w:val="8"/>
  </w:num>
  <w:num w:numId="22">
    <w:abstractNumId w:val="14"/>
  </w:num>
  <w:num w:numId="23">
    <w:abstractNumId w:val="16"/>
  </w:num>
  <w:num w:numId="24">
    <w:abstractNumId w:val="12"/>
  </w:num>
  <w:num w:numId="25">
    <w:abstractNumId w:val="3"/>
  </w:num>
  <w:num w:numId="26">
    <w:abstractNumId w:val="21"/>
  </w:num>
  <w:num w:numId="27">
    <w:abstractNumId w:val="23"/>
  </w:num>
  <w:num w:numId="28">
    <w:abstractNumId w:val="4"/>
  </w:num>
  <w:num w:numId="29">
    <w:abstractNumId w:val="17"/>
  </w:num>
  <w:num w:numId="30">
    <w:abstractNumId w:val="7"/>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F4C7747-F73A-4FE6-8497-AA1CFAAE2D0A}"/>
    <w:docVar w:name="dgnword-eventsink" w:val="521610584"/>
  </w:docVars>
  <w:rsids>
    <w:rsidRoot w:val="00B06576"/>
    <w:rsid w:val="000002C3"/>
    <w:rsid w:val="00000397"/>
    <w:rsid w:val="00001385"/>
    <w:rsid w:val="000015FB"/>
    <w:rsid w:val="0000181D"/>
    <w:rsid w:val="00001C77"/>
    <w:rsid w:val="00002357"/>
    <w:rsid w:val="00005428"/>
    <w:rsid w:val="00005AB9"/>
    <w:rsid w:val="00007175"/>
    <w:rsid w:val="0001089F"/>
    <w:rsid w:val="000153BD"/>
    <w:rsid w:val="000153D6"/>
    <w:rsid w:val="000160B8"/>
    <w:rsid w:val="00016B6E"/>
    <w:rsid w:val="00016D50"/>
    <w:rsid w:val="000179BA"/>
    <w:rsid w:val="000214EA"/>
    <w:rsid w:val="00021A61"/>
    <w:rsid w:val="00021EBB"/>
    <w:rsid w:val="0002226B"/>
    <w:rsid w:val="000222DA"/>
    <w:rsid w:val="00023ACB"/>
    <w:rsid w:val="00024688"/>
    <w:rsid w:val="00024A45"/>
    <w:rsid w:val="00024B51"/>
    <w:rsid w:val="00024BB9"/>
    <w:rsid w:val="00026218"/>
    <w:rsid w:val="000264FE"/>
    <w:rsid w:val="00026C75"/>
    <w:rsid w:val="0002763F"/>
    <w:rsid w:val="00027709"/>
    <w:rsid w:val="00030FC5"/>
    <w:rsid w:val="00031567"/>
    <w:rsid w:val="00032981"/>
    <w:rsid w:val="00033B8C"/>
    <w:rsid w:val="00033ECB"/>
    <w:rsid w:val="00034258"/>
    <w:rsid w:val="0003445F"/>
    <w:rsid w:val="00035686"/>
    <w:rsid w:val="00035E81"/>
    <w:rsid w:val="00036143"/>
    <w:rsid w:val="0003630B"/>
    <w:rsid w:val="000409B7"/>
    <w:rsid w:val="00040BBF"/>
    <w:rsid w:val="00040CF2"/>
    <w:rsid w:val="00041DDA"/>
    <w:rsid w:val="000434EA"/>
    <w:rsid w:val="00043F39"/>
    <w:rsid w:val="00044A0C"/>
    <w:rsid w:val="00045256"/>
    <w:rsid w:val="000455CE"/>
    <w:rsid w:val="00045971"/>
    <w:rsid w:val="00045DE4"/>
    <w:rsid w:val="0004634F"/>
    <w:rsid w:val="000463DD"/>
    <w:rsid w:val="00046543"/>
    <w:rsid w:val="000466AD"/>
    <w:rsid w:val="00046BF6"/>
    <w:rsid w:val="0005014F"/>
    <w:rsid w:val="00050813"/>
    <w:rsid w:val="000523F5"/>
    <w:rsid w:val="0005267A"/>
    <w:rsid w:val="0005277F"/>
    <w:rsid w:val="00052A4A"/>
    <w:rsid w:val="00053AE8"/>
    <w:rsid w:val="000540F6"/>
    <w:rsid w:val="00054EBA"/>
    <w:rsid w:val="00055586"/>
    <w:rsid w:val="0005678C"/>
    <w:rsid w:val="00056A85"/>
    <w:rsid w:val="00056FE7"/>
    <w:rsid w:val="000577E5"/>
    <w:rsid w:val="00060E2C"/>
    <w:rsid w:val="000615CA"/>
    <w:rsid w:val="00061F1A"/>
    <w:rsid w:val="000620EB"/>
    <w:rsid w:val="0006241B"/>
    <w:rsid w:val="00062514"/>
    <w:rsid w:val="00062933"/>
    <w:rsid w:val="000651EA"/>
    <w:rsid w:val="000653FC"/>
    <w:rsid w:val="00065D43"/>
    <w:rsid w:val="000660BC"/>
    <w:rsid w:val="00066150"/>
    <w:rsid w:val="000661B8"/>
    <w:rsid w:val="000667F1"/>
    <w:rsid w:val="000668CC"/>
    <w:rsid w:val="0006693C"/>
    <w:rsid w:val="000679BB"/>
    <w:rsid w:val="00071C38"/>
    <w:rsid w:val="00071D95"/>
    <w:rsid w:val="00072C4D"/>
    <w:rsid w:val="00072D06"/>
    <w:rsid w:val="00073964"/>
    <w:rsid w:val="00073B23"/>
    <w:rsid w:val="00075178"/>
    <w:rsid w:val="0007552E"/>
    <w:rsid w:val="000766E8"/>
    <w:rsid w:val="000768DC"/>
    <w:rsid w:val="00077043"/>
    <w:rsid w:val="00077551"/>
    <w:rsid w:val="00077717"/>
    <w:rsid w:val="00077988"/>
    <w:rsid w:val="000818BB"/>
    <w:rsid w:val="00081DE1"/>
    <w:rsid w:val="00082CEB"/>
    <w:rsid w:val="00083135"/>
    <w:rsid w:val="000835B8"/>
    <w:rsid w:val="000837BA"/>
    <w:rsid w:val="0008398D"/>
    <w:rsid w:val="000840D6"/>
    <w:rsid w:val="000841EE"/>
    <w:rsid w:val="00086707"/>
    <w:rsid w:val="00086AD4"/>
    <w:rsid w:val="00090AC5"/>
    <w:rsid w:val="000922D2"/>
    <w:rsid w:val="0009246F"/>
    <w:rsid w:val="00092F47"/>
    <w:rsid w:val="00092F4C"/>
    <w:rsid w:val="000933C2"/>
    <w:rsid w:val="00093ABA"/>
    <w:rsid w:val="00093DA8"/>
    <w:rsid w:val="0009417F"/>
    <w:rsid w:val="00094324"/>
    <w:rsid w:val="0009537B"/>
    <w:rsid w:val="000969D5"/>
    <w:rsid w:val="00097A1A"/>
    <w:rsid w:val="00097CA9"/>
    <w:rsid w:val="000A0B64"/>
    <w:rsid w:val="000A0B69"/>
    <w:rsid w:val="000A0E13"/>
    <w:rsid w:val="000A1AD1"/>
    <w:rsid w:val="000A2CD9"/>
    <w:rsid w:val="000A391D"/>
    <w:rsid w:val="000A40AB"/>
    <w:rsid w:val="000A4766"/>
    <w:rsid w:val="000A4CBD"/>
    <w:rsid w:val="000A5474"/>
    <w:rsid w:val="000A6825"/>
    <w:rsid w:val="000A6A70"/>
    <w:rsid w:val="000B0452"/>
    <w:rsid w:val="000B159F"/>
    <w:rsid w:val="000B17F6"/>
    <w:rsid w:val="000B23C9"/>
    <w:rsid w:val="000B3595"/>
    <w:rsid w:val="000B3951"/>
    <w:rsid w:val="000B3AAE"/>
    <w:rsid w:val="000B3C47"/>
    <w:rsid w:val="000B3D78"/>
    <w:rsid w:val="000B400F"/>
    <w:rsid w:val="000B4316"/>
    <w:rsid w:val="000B4399"/>
    <w:rsid w:val="000B44D1"/>
    <w:rsid w:val="000B5A04"/>
    <w:rsid w:val="000B623B"/>
    <w:rsid w:val="000B6851"/>
    <w:rsid w:val="000B74B8"/>
    <w:rsid w:val="000C00DD"/>
    <w:rsid w:val="000C196B"/>
    <w:rsid w:val="000C23BE"/>
    <w:rsid w:val="000C32F1"/>
    <w:rsid w:val="000C3A36"/>
    <w:rsid w:val="000C47E2"/>
    <w:rsid w:val="000C4DFA"/>
    <w:rsid w:val="000C4E20"/>
    <w:rsid w:val="000C55A8"/>
    <w:rsid w:val="000C5B5C"/>
    <w:rsid w:val="000C619E"/>
    <w:rsid w:val="000D052F"/>
    <w:rsid w:val="000D1039"/>
    <w:rsid w:val="000D106C"/>
    <w:rsid w:val="000D1793"/>
    <w:rsid w:val="000D1F7D"/>
    <w:rsid w:val="000D2096"/>
    <w:rsid w:val="000D2432"/>
    <w:rsid w:val="000D2758"/>
    <w:rsid w:val="000D27B4"/>
    <w:rsid w:val="000D27EE"/>
    <w:rsid w:val="000D3142"/>
    <w:rsid w:val="000D3534"/>
    <w:rsid w:val="000D479D"/>
    <w:rsid w:val="000D47B5"/>
    <w:rsid w:val="000D4CFF"/>
    <w:rsid w:val="000D4D74"/>
    <w:rsid w:val="000D4D9B"/>
    <w:rsid w:val="000D4F5C"/>
    <w:rsid w:val="000D5299"/>
    <w:rsid w:val="000D5837"/>
    <w:rsid w:val="000D58EE"/>
    <w:rsid w:val="000D61D4"/>
    <w:rsid w:val="000D6524"/>
    <w:rsid w:val="000E00FF"/>
    <w:rsid w:val="000E05E4"/>
    <w:rsid w:val="000E0C05"/>
    <w:rsid w:val="000E1418"/>
    <w:rsid w:val="000E175C"/>
    <w:rsid w:val="000E24F0"/>
    <w:rsid w:val="000E317E"/>
    <w:rsid w:val="000E4437"/>
    <w:rsid w:val="000E445B"/>
    <w:rsid w:val="000E4EBD"/>
    <w:rsid w:val="000E63CC"/>
    <w:rsid w:val="000E67AC"/>
    <w:rsid w:val="000E6AE6"/>
    <w:rsid w:val="000F04D2"/>
    <w:rsid w:val="000F2547"/>
    <w:rsid w:val="000F2CDE"/>
    <w:rsid w:val="000F37A5"/>
    <w:rsid w:val="000F405E"/>
    <w:rsid w:val="000F4364"/>
    <w:rsid w:val="000F4680"/>
    <w:rsid w:val="000F4D71"/>
    <w:rsid w:val="000F4E04"/>
    <w:rsid w:val="000F5396"/>
    <w:rsid w:val="000F577B"/>
    <w:rsid w:val="000F5AE4"/>
    <w:rsid w:val="000F7545"/>
    <w:rsid w:val="000F7A9E"/>
    <w:rsid w:val="001027DA"/>
    <w:rsid w:val="001032FE"/>
    <w:rsid w:val="00103B1A"/>
    <w:rsid w:val="00104AEF"/>
    <w:rsid w:val="00105C84"/>
    <w:rsid w:val="00107740"/>
    <w:rsid w:val="001078BE"/>
    <w:rsid w:val="00107D46"/>
    <w:rsid w:val="0011024C"/>
    <w:rsid w:val="0011053B"/>
    <w:rsid w:val="00110F64"/>
    <w:rsid w:val="001113D2"/>
    <w:rsid w:val="00111AEE"/>
    <w:rsid w:val="00111B4C"/>
    <w:rsid w:val="00112711"/>
    <w:rsid w:val="001129C0"/>
    <w:rsid w:val="00112EAF"/>
    <w:rsid w:val="001134D1"/>
    <w:rsid w:val="001136C5"/>
    <w:rsid w:val="0011438F"/>
    <w:rsid w:val="00114830"/>
    <w:rsid w:val="0011640F"/>
    <w:rsid w:val="00116C9C"/>
    <w:rsid w:val="001172BF"/>
    <w:rsid w:val="001201DA"/>
    <w:rsid w:val="001207A6"/>
    <w:rsid w:val="00120F0B"/>
    <w:rsid w:val="00121A01"/>
    <w:rsid w:val="00121A44"/>
    <w:rsid w:val="00121B9F"/>
    <w:rsid w:val="00122444"/>
    <w:rsid w:val="0012343A"/>
    <w:rsid w:val="0012439B"/>
    <w:rsid w:val="00125363"/>
    <w:rsid w:val="00125B07"/>
    <w:rsid w:val="00125E00"/>
    <w:rsid w:val="00126824"/>
    <w:rsid w:val="00126850"/>
    <w:rsid w:val="0012691D"/>
    <w:rsid w:val="00126D8B"/>
    <w:rsid w:val="0012716D"/>
    <w:rsid w:val="00127480"/>
    <w:rsid w:val="001279A7"/>
    <w:rsid w:val="00127D06"/>
    <w:rsid w:val="001300F7"/>
    <w:rsid w:val="001304D9"/>
    <w:rsid w:val="00130C4E"/>
    <w:rsid w:val="00130F0B"/>
    <w:rsid w:val="00131646"/>
    <w:rsid w:val="00131EE0"/>
    <w:rsid w:val="001334C7"/>
    <w:rsid w:val="00133602"/>
    <w:rsid w:val="00134758"/>
    <w:rsid w:val="00135C63"/>
    <w:rsid w:val="00136399"/>
    <w:rsid w:val="00137CBD"/>
    <w:rsid w:val="001401DA"/>
    <w:rsid w:val="0014089B"/>
    <w:rsid w:val="0014168A"/>
    <w:rsid w:val="00142FA7"/>
    <w:rsid w:val="00143F4C"/>
    <w:rsid w:val="00144AD0"/>
    <w:rsid w:val="00144F0C"/>
    <w:rsid w:val="0014550C"/>
    <w:rsid w:val="0014570D"/>
    <w:rsid w:val="001465B6"/>
    <w:rsid w:val="00146F9A"/>
    <w:rsid w:val="00150097"/>
    <w:rsid w:val="001506AB"/>
    <w:rsid w:val="00150EB1"/>
    <w:rsid w:val="00151A3D"/>
    <w:rsid w:val="00151D9F"/>
    <w:rsid w:val="001521EE"/>
    <w:rsid w:val="00152EA8"/>
    <w:rsid w:val="0015405D"/>
    <w:rsid w:val="001546E6"/>
    <w:rsid w:val="001546F0"/>
    <w:rsid w:val="001547C8"/>
    <w:rsid w:val="00155101"/>
    <w:rsid w:val="00155189"/>
    <w:rsid w:val="00156D38"/>
    <w:rsid w:val="001575E3"/>
    <w:rsid w:val="001578AA"/>
    <w:rsid w:val="00157C81"/>
    <w:rsid w:val="00160934"/>
    <w:rsid w:val="0016190B"/>
    <w:rsid w:val="00161AB9"/>
    <w:rsid w:val="00162F40"/>
    <w:rsid w:val="001631D3"/>
    <w:rsid w:val="0016346B"/>
    <w:rsid w:val="00163896"/>
    <w:rsid w:val="00164E69"/>
    <w:rsid w:val="00167566"/>
    <w:rsid w:val="00167C0C"/>
    <w:rsid w:val="001703DB"/>
    <w:rsid w:val="00170470"/>
    <w:rsid w:val="00170DE1"/>
    <w:rsid w:val="00172D0F"/>
    <w:rsid w:val="001739D7"/>
    <w:rsid w:val="00173E0A"/>
    <w:rsid w:val="00175658"/>
    <w:rsid w:val="001757D1"/>
    <w:rsid w:val="00176592"/>
    <w:rsid w:val="00176A0A"/>
    <w:rsid w:val="00176DED"/>
    <w:rsid w:val="001802D9"/>
    <w:rsid w:val="001804FE"/>
    <w:rsid w:val="00180572"/>
    <w:rsid w:val="0018069A"/>
    <w:rsid w:val="00180992"/>
    <w:rsid w:val="00180B5F"/>
    <w:rsid w:val="00180BD6"/>
    <w:rsid w:val="00181A2E"/>
    <w:rsid w:val="00181E35"/>
    <w:rsid w:val="001835E6"/>
    <w:rsid w:val="001842E8"/>
    <w:rsid w:val="00185919"/>
    <w:rsid w:val="00185AF0"/>
    <w:rsid w:val="00186040"/>
    <w:rsid w:val="0018752E"/>
    <w:rsid w:val="00190501"/>
    <w:rsid w:val="001912D6"/>
    <w:rsid w:val="001920ED"/>
    <w:rsid w:val="001928E7"/>
    <w:rsid w:val="00192D6C"/>
    <w:rsid w:val="001930F1"/>
    <w:rsid w:val="00193B04"/>
    <w:rsid w:val="001943BC"/>
    <w:rsid w:val="001947E9"/>
    <w:rsid w:val="0019480D"/>
    <w:rsid w:val="00194B4D"/>
    <w:rsid w:val="00195199"/>
    <w:rsid w:val="00195385"/>
    <w:rsid w:val="00195492"/>
    <w:rsid w:val="00195820"/>
    <w:rsid w:val="00195E0D"/>
    <w:rsid w:val="00196CBB"/>
    <w:rsid w:val="00196D05"/>
    <w:rsid w:val="00197C36"/>
    <w:rsid w:val="00197FF3"/>
    <w:rsid w:val="001A01BA"/>
    <w:rsid w:val="001A1440"/>
    <w:rsid w:val="001A2201"/>
    <w:rsid w:val="001A2463"/>
    <w:rsid w:val="001A2885"/>
    <w:rsid w:val="001A40E0"/>
    <w:rsid w:val="001A44D3"/>
    <w:rsid w:val="001A461A"/>
    <w:rsid w:val="001A54B7"/>
    <w:rsid w:val="001A59CF"/>
    <w:rsid w:val="001A6586"/>
    <w:rsid w:val="001B0A09"/>
    <w:rsid w:val="001B1056"/>
    <w:rsid w:val="001B1467"/>
    <w:rsid w:val="001B493E"/>
    <w:rsid w:val="001B5440"/>
    <w:rsid w:val="001B5A48"/>
    <w:rsid w:val="001B5A6E"/>
    <w:rsid w:val="001B5CFC"/>
    <w:rsid w:val="001B6836"/>
    <w:rsid w:val="001B6F7F"/>
    <w:rsid w:val="001B7CF1"/>
    <w:rsid w:val="001B7E26"/>
    <w:rsid w:val="001C02B1"/>
    <w:rsid w:val="001C0DFB"/>
    <w:rsid w:val="001C1702"/>
    <w:rsid w:val="001C2367"/>
    <w:rsid w:val="001C29D5"/>
    <w:rsid w:val="001C373C"/>
    <w:rsid w:val="001C3953"/>
    <w:rsid w:val="001C50FB"/>
    <w:rsid w:val="001C5952"/>
    <w:rsid w:val="001C6F13"/>
    <w:rsid w:val="001C7116"/>
    <w:rsid w:val="001C75A3"/>
    <w:rsid w:val="001D00D4"/>
    <w:rsid w:val="001D06F7"/>
    <w:rsid w:val="001D0A01"/>
    <w:rsid w:val="001D0EE6"/>
    <w:rsid w:val="001D0FF8"/>
    <w:rsid w:val="001D1D4B"/>
    <w:rsid w:val="001D2394"/>
    <w:rsid w:val="001D23A7"/>
    <w:rsid w:val="001D2A84"/>
    <w:rsid w:val="001D2D65"/>
    <w:rsid w:val="001D3AA7"/>
    <w:rsid w:val="001D4E8A"/>
    <w:rsid w:val="001D5605"/>
    <w:rsid w:val="001D64E2"/>
    <w:rsid w:val="001D664B"/>
    <w:rsid w:val="001D698C"/>
    <w:rsid w:val="001D6CC3"/>
    <w:rsid w:val="001D71E1"/>
    <w:rsid w:val="001D7753"/>
    <w:rsid w:val="001D7E43"/>
    <w:rsid w:val="001D7F6C"/>
    <w:rsid w:val="001E09D7"/>
    <w:rsid w:val="001E0B27"/>
    <w:rsid w:val="001E167A"/>
    <w:rsid w:val="001E207B"/>
    <w:rsid w:val="001E2D4C"/>
    <w:rsid w:val="001E32C2"/>
    <w:rsid w:val="001E444D"/>
    <w:rsid w:val="001E5289"/>
    <w:rsid w:val="001E570B"/>
    <w:rsid w:val="001E5FA7"/>
    <w:rsid w:val="001E7F7B"/>
    <w:rsid w:val="001F2453"/>
    <w:rsid w:val="001F31E3"/>
    <w:rsid w:val="001F5240"/>
    <w:rsid w:val="001F5699"/>
    <w:rsid w:val="001F6EBD"/>
    <w:rsid w:val="001F721F"/>
    <w:rsid w:val="001F7AD5"/>
    <w:rsid w:val="002003DE"/>
    <w:rsid w:val="00201ADA"/>
    <w:rsid w:val="0020228C"/>
    <w:rsid w:val="00203298"/>
    <w:rsid w:val="00203504"/>
    <w:rsid w:val="00203CA4"/>
    <w:rsid w:val="00203EF9"/>
    <w:rsid w:val="002042D7"/>
    <w:rsid w:val="00206A78"/>
    <w:rsid w:val="00206B2F"/>
    <w:rsid w:val="0021029B"/>
    <w:rsid w:val="002145BF"/>
    <w:rsid w:val="00214852"/>
    <w:rsid w:val="002152AA"/>
    <w:rsid w:val="00215B9F"/>
    <w:rsid w:val="00216354"/>
    <w:rsid w:val="0021646C"/>
    <w:rsid w:val="002164FC"/>
    <w:rsid w:val="002174B3"/>
    <w:rsid w:val="002202A7"/>
    <w:rsid w:val="002214B2"/>
    <w:rsid w:val="00221CBA"/>
    <w:rsid w:val="00221FC3"/>
    <w:rsid w:val="002227AD"/>
    <w:rsid w:val="002227E9"/>
    <w:rsid w:val="00222DF3"/>
    <w:rsid w:val="00223445"/>
    <w:rsid w:val="00223811"/>
    <w:rsid w:val="00223DDB"/>
    <w:rsid w:val="0022404B"/>
    <w:rsid w:val="002252F5"/>
    <w:rsid w:val="002260E1"/>
    <w:rsid w:val="00226846"/>
    <w:rsid w:val="00227B54"/>
    <w:rsid w:val="00227C16"/>
    <w:rsid w:val="00231299"/>
    <w:rsid w:val="00231F98"/>
    <w:rsid w:val="002320B5"/>
    <w:rsid w:val="002322E5"/>
    <w:rsid w:val="00232DAA"/>
    <w:rsid w:val="00232F2E"/>
    <w:rsid w:val="00233074"/>
    <w:rsid w:val="0023388C"/>
    <w:rsid w:val="0023401F"/>
    <w:rsid w:val="0023416F"/>
    <w:rsid w:val="00234557"/>
    <w:rsid w:val="00234715"/>
    <w:rsid w:val="00235689"/>
    <w:rsid w:val="00235E01"/>
    <w:rsid w:val="00240248"/>
    <w:rsid w:val="002403E5"/>
    <w:rsid w:val="00240BD5"/>
    <w:rsid w:val="002424A8"/>
    <w:rsid w:val="0024260B"/>
    <w:rsid w:val="002428F7"/>
    <w:rsid w:val="00242A70"/>
    <w:rsid w:val="00242E90"/>
    <w:rsid w:val="00244B0A"/>
    <w:rsid w:val="00244F65"/>
    <w:rsid w:val="00245106"/>
    <w:rsid w:val="00245876"/>
    <w:rsid w:val="0024684A"/>
    <w:rsid w:val="0024711D"/>
    <w:rsid w:val="0024793E"/>
    <w:rsid w:val="002508FF"/>
    <w:rsid w:val="0025127C"/>
    <w:rsid w:val="00251C6C"/>
    <w:rsid w:val="00251C77"/>
    <w:rsid w:val="0025201D"/>
    <w:rsid w:val="0025213C"/>
    <w:rsid w:val="00252CBE"/>
    <w:rsid w:val="002534FB"/>
    <w:rsid w:val="00253650"/>
    <w:rsid w:val="002538EF"/>
    <w:rsid w:val="0025473F"/>
    <w:rsid w:val="00254FB7"/>
    <w:rsid w:val="002561E4"/>
    <w:rsid w:val="0025666B"/>
    <w:rsid w:val="00256680"/>
    <w:rsid w:val="00256838"/>
    <w:rsid w:val="0026054C"/>
    <w:rsid w:val="002606B1"/>
    <w:rsid w:val="00260D9A"/>
    <w:rsid w:val="00261071"/>
    <w:rsid w:val="00261EF0"/>
    <w:rsid w:val="00262C83"/>
    <w:rsid w:val="0026350B"/>
    <w:rsid w:val="00263BC4"/>
    <w:rsid w:val="00265299"/>
    <w:rsid w:val="00267324"/>
    <w:rsid w:val="00267B28"/>
    <w:rsid w:val="00267CE2"/>
    <w:rsid w:val="00270236"/>
    <w:rsid w:val="00270E1C"/>
    <w:rsid w:val="00272E8A"/>
    <w:rsid w:val="00273DBD"/>
    <w:rsid w:val="00274864"/>
    <w:rsid w:val="00275311"/>
    <w:rsid w:val="002765F0"/>
    <w:rsid w:val="00276D29"/>
    <w:rsid w:val="002777E8"/>
    <w:rsid w:val="00277B39"/>
    <w:rsid w:val="00280322"/>
    <w:rsid w:val="002804DF"/>
    <w:rsid w:val="00280628"/>
    <w:rsid w:val="002811DB"/>
    <w:rsid w:val="0028171F"/>
    <w:rsid w:val="00281AF5"/>
    <w:rsid w:val="00282247"/>
    <w:rsid w:val="00282489"/>
    <w:rsid w:val="00282843"/>
    <w:rsid w:val="002829E0"/>
    <w:rsid w:val="0028348B"/>
    <w:rsid w:val="002836EB"/>
    <w:rsid w:val="002848EA"/>
    <w:rsid w:val="00284926"/>
    <w:rsid w:val="00285077"/>
    <w:rsid w:val="00286714"/>
    <w:rsid w:val="00287651"/>
    <w:rsid w:val="00287EED"/>
    <w:rsid w:val="00290463"/>
    <w:rsid w:val="002907D6"/>
    <w:rsid w:val="00290A89"/>
    <w:rsid w:val="00290C85"/>
    <w:rsid w:val="0029170C"/>
    <w:rsid w:val="00291846"/>
    <w:rsid w:val="0029203A"/>
    <w:rsid w:val="00294269"/>
    <w:rsid w:val="00294319"/>
    <w:rsid w:val="00294C7A"/>
    <w:rsid w:val="00294F00"/>
    <w:rsid w:val="00295712"/>
    <w:rsid w:val="00297482"/>
    <w:rsid w:val="002A0066"/>
    <w:rsid w:val="002A0856"/>
    <w:rsid w:val="002A0E19"/>
    <w:rsid w:val="002A0FC0"/>
    <w:rsid w:val="002A15CF"/>
    <w:rsid w:val="002A1664"/>
    <w:rsid w:val="002A1DE5"/>
    <w:rsid w:val="002A2193"/>
    <w:rsid w:val="002A5455"/>
    <w:rsid w:val="002A6AA7"/>
    <w:rsid w:val="002A6FC1"/>
    <w:rsid w:val="002A717A"/>
    <w:rsid w:val="002A7FB6"/>
    <w:rsid w:val="002B02C7"/>
    <w:rsid w:val="002B3B49"/>
    <w:rsid w:val="002B4037"/>
    <w:rsid w:val="002B483B"/>
    <w:rsid w:val="002B4AF6"/>
    <w:rsid w:val="002B50F0"/>
    <w:rsid w:val="002B543C"/>
    <w:rsid w:val="002B7868"/>
    <w:rsid w:val="002C00CC"/>
    <w:rsid w:val="002C022C"/>
    <w:rsid w:val="002C058A"/>
    <w:rsid w:val="002C0BE4"/>
    <w:rsid w:val="002C0DB2"/>
    <w:rsid w:val="002C19B8"/>
    <w:rsid w:val="002C2041"/>
    <w:rsid w:val="002C2658"/>
    <w:rsid w:val="002C2777"/>
    <w:rsid w:val="002C4B3D"/>
    <w:rsid w:val="002C4C9B"/>
    <w:rsid w:val="002C4E13"/>
    <w:rsid w:val="002C5C82"/>
    <w:rsid w:val="002C61F0"/>
    <w:rsid w:val="002C62ED"/>
    <w:rsid w:val="002C70B2"/>
    <w:rsid w:val="002C73FA"/>
    <w:rsid w:val="002C7613"/>
    <w:rsid w:val="002C79C5"/>
    <w:rsid w:val="002C7D47"/>
    <w:rsid w:val="002C7D86"/>
    <w:rsid w:val="002C7E75"/>
    <w:rsid w:val="002D0480"/>
    <w:rsid w:val="002D06FA"/>
    <w:rsid w:val="002D1DA9"/>
    <w:rsid w:val="002D2FD4"/>
    <w:rsid w:val="002D5776"/>
    <w:rsid w:val="002D5B4F"/>
    <w:rsid w:val="002D705F"/>
    <w:rsid w:val="002D7D28"/>
    <w:rsid w:val="002D7D59"/>
    <w:rsid w:val="002E18A0"/>
    <w:rsid w:val="002E21DD"/>
    <w:rsid w:val="002E297E"/>
    <w:rsid w:val="002E388A"/>
    <w:rsid w:val="002E4EE4"/>
    <w:rsid w:val="002E59F3"/>
    <w:rsid w:val="002E6037"/>
    <w:rsid w:val="002E62A8"/>
    <w:rsid w:val="002E7035"/>
    <w:rsid w:val="002E73A4"/>
    <w:rsid w:val="002E7468"/>
    <w:rsid w:val="002E7889"/>
    <w:rsid w:val="002E7E45"/>
    <w:rsid w:val="002F04BC"/>
    <w:rsid w:val="002F0BC2"/>
    <w:rsid w:val="002F0C2D"/>
    <w:rsid w:val="002F2F26"/>
    <w:rsid w:val="002F306F"/>
    <w:rsid w:val="002F330B"/>
    <w:rsid w:val="002F3EFA"/>
    <w:rsid w:val="002F3FB1"/>
    <w:rsid w:val="002F40AA"/>
    <w:rsid w:val="002F4E85"/>
    <w:rsid w:val="002F530B"/>
    <w:rsid w:val="002F5C61"/>
    <w:rsid w:val="002F61D2"/>
    <w:rsid w:val="003011C2"/>
    <w:rsid w:val="00301778"/>
    <w:rsid w:val="00301F7E"/>
    <w:rsid w:val="00304209"/>
    <w:rsid w:val="003050E8"/>
    <w:rsid w:val="00305DF0"/>
    <w:rsid w:val="00305EE1"/>
    <w:rsid w:val="00306771"/>
    <w:rsid w:val="00306C65"/>
    <w:rsid w:val="003078D3"/>
    <w:rsid w:val="00310366"/>
    <w:rsid w:val="00310D7E"/>
    <w:rsid w:val="003124B3"/>
    <w:rsid w:val="003135CD"/>
    <w:rsid w:val="00313A58"/>
    <w:rsid w:val="00315768"/>
    <w:rsid w:val="00315DB1"/>
    <w:rsid w:val="003171BD"/>
    <w:rsid w:val="00320EF4"/>
    <w:rsid w:val="003212C0"/>
    <w:rsid w:val="00322B0E"/>
    <w:rsid w:val="00323430"/>
    <w:rsid w:val="00323D93"/>
    <w:rsid w:val="00323E0E"/>
    <w:rsid w:val="00324E37"/>
    <w:rsid w:val="00324E5B"/>
    <w:rsid w:val="00324F20"/>
    <w:rsid w:val="0032504C"/>
    <w:rsid w:val="003261E7"/>
    <w:rsid w:val="0032771B"/>
    <w:rsid w:val="00331D5E"/>
    <w:rsid w:val="00331F90"/>
    <w:rsid w:val="0033232A"/>
    <w:rsid w:val="003325CF"/>
    <w:rsid w:val="00333076"/>
    <w:rsid w:val="0033313A"/>
    <w:rsid w:val="00333F28"/>
    <w:rsid w:val="0033464E"/>
    <w:rsid w:val="00334EEA"/>
    <w:rsid w:val="00335575"/>
    <w:rsid w:val="00335B56"/>
    <w:rsid w:val="0033602C"/>
    <w:rsid w:val="0033723C"/>
    <w:rsid w:val="00337662"/>
    <w:rsid w:val="00337D4F"/>
    <w:rsid w:val="00340B47"/>
    <w:rsid w:val="00340D17"/>
    <w:rsid w:val="00341B1E"/>
    <w:rsid w:val="00342265"/>
    <w:rsid w:val="0034445B"/>
    <w:rsid w:val="00344AE6"/>
    <w:rsid w:val="00344C0C"/>
    <w:rsid w:val="00344C80"/>
    <w:rsid w:val="0034536C"/>
    <w:rsid w:val="003455FC"/>
    <w:rsid w:val="00345679"/>
    <w:rsid w:val="003461B3"/>
    <w:rsid w:val="00346942"/>
    <w:rsid w:val="00346E70"/>
    <w:rsid w:val="003478D7"/>
    <w:rsid w:val="0035049C"/>
    <w:rsid w:val="003507C9"/>
    <w:rsid w:val="0035164B"/>
    <w:rsid w:val="003517A7"/>
    <w:rsid w:val="00354175"/>
    <w:rsid w:val="00354210"/>
    <w:rsid w:val="00354884"/>
    <w:rsid w:val="00354AF4"/>
    <w:rsid w:val="00355DD8"/>
    <w:rsid w:val="00356146"/>
    <w:rsid w:val="00356C7C"/>
    <w:rsid w:val="003574B4"/>
    <w:rsid w:val="0036002B"/>
    <w:rsid w:val="00360128"/>
    <w:rsid w:val="003610C9"/>
    <w:rsid w:val="00361BC7"/>
    <w:rsid w:val="00362E8C"/>
    <w:rsid w:val="00363432"/>
    <w:rsid w:val="003638AC"/>
    <w:rsid w:val="00363BE2"/>
    <w:rsid w:val="0036440D"/>
    <w:rsid w:val="0036615C"/>
    <w:rsid w:val="0036631A"/>
    <w:rsid w:val="003679B5"/>
    <w:rsid w:val="00370E0A"/>
    <w:rsid w:val="00371EF7"/>
    <w:rsid w:val="003721A9"/>
    <w:rsid w:val="0037238E"/>
    <w:rsid w:val="0037240A"/>
    <w:rsid w:val="003727A1"/>
    <w:rsid w:val="0037527E"/>
    <w:rsid w:val="003755A5"/>
    <w:rsid w:val="00375676"/>
    <w:rsid w:val="0037640E"/>
    <w:rsid w:val="003767A4"/>
    <w:rsid w:val="003769CA"/>
    <w:rsid w:val="00376B55"/>
    <w:rsid w:val="003771E6"/>
    <w:rsid w:val="00377536"/>
    <w:rsid w:val="00380117"/>
    <w:rsid w:val="0038094C"/>
    <w:rsid w:val="003811C8"/>
    <w:rsid w:val="0038128E"/>
    <w:rsid w:val="0038136E"/>
    <w:rsid w:val="003817F9"/>
    <w:rsid w:val="003826D8"/>
    <w:rsid w:val="00382AE1"/>
    <w:rsid w:val="003834D8"/>
    <w:rsid w:val="00383C86"/>
    <w:rsid w:val="0038476D"/>
    <w:rsid w:val="00385AAF"/>
    <w:rsid w:val="00386DB6"/>
    <w:rsid w:val="003870F1"/>
    <w:rsid w:val="00387690"/>
    <w:rsid w:val="0038794C"/>
    <w:rsid w:val="003905DF"/>
    <w:rsid w:val="00390E4D"/>
    <w:rsid w:val="003933B5"/>
    <w:rsid w:val="00393DE2"/>
    <w:rsid w:val="003947C5"/>
    <w:rsid w:val="0039493F"/>
    <w:rsid w:val="00394C10"/>
    <w:rsid w:val="00394DC3"/>
    <w:rsid w:val="00394F35"/>
    <w:rsid w:val="0039522A"/>
    <w:rsid w:val="0039534B"/>
    <w:rsid w:val="00395A2D"/>
    <w:rsid w:val="00395F14"/>
    <w:rsid w:val="003963EB"/>
    <w:rsid w:val="00396F4D"/>
    <w:rsid w:val="0039714F"/>
    <w:rsid w:val="003973B9"/>
    <w:rsid w:val="00397902"/>
    <w:rsid w:val="003A0166"/>
    <w:rsid w:val="003A09E7"/>
    <w:rsid w:val="003A2979"/>
    <w:rsid w:val="003A2999"/>
    <w:rsid w:val="003A2D40"/>
    <w:rsid w:val="003A3823"/>
    <w:rsid w:val="003A389B"/>
    <w:rsid w:val="003A4199"/>
    <w:rsid w:val="003A53D9"/>
    <w:rsid w:val="003A587E"/>
    <w:rsid w:val="003A58C9"/>
    <w:rsid w:val="003A59D8"/>
    <w:rsid w:val="003A5E69"/>
    <w:rsid w:val="003A6670"/>
    <w:rsid w:val="003A6742"/>
    <w:rsid w:val="003A6FC6"/>
    <w:rsid w:val="003B023C"/>
    <w:rsid w:val="003B172F"/>
    <w:rsid w:val="003B2D60"/>
    <w:rsid w:val="003B30AE"/>
    <w:rsid w:val="003B33DB"/>
    <w:rsid w:val="003B39A1"/>
    <w:rsid w:val="003B3AEE"/>
    <w:rsid w:val="003B3DC5"/>
    <w:rsid w:val="003B4792"/>
    <w:rsid w:val="003B52B1"/>
    <w:rsid w:val="003B5B7B"/>
    <w:rsid w:val="003B7168"/>
    <w:rsid w:val="003B7982"/>
    <w:rsid w:val="003B7EE2"/>
    <w:rsid w:val="003B7FB2"/>
    <w:rsid w:val="003C0B04"/>
    <w:rsid w:val="003C1302"/>
    <w:rsid w:val="003C3B25"/>
    <w:rsid w:val="003C54E0"/>
    <w:rsid w:val="003C5E58"/>
    <w:rsid w:val="003C6D43"/>
    <w:rsid w:val="003C78E0"/>
    <w:rsid w:val="003C7A5D"/>
    <w:rsid w:val="003C7B54"/>
    <w:rsid w:val="003C7E16"/>
    <w:rsid w:val="003C7EBC"/>
    <w:rsid w:val="003D0168"/>
    <w:rsid w:val="003D17A3"/>
    <w:rsid w:val="003D2529"/>
    <w:rsid w:val="003D257E"/>
    <w:rsid w:val="003D2CCF"/>
    <w:rsid w:val="003D3544"/>
    <w:rsid w:val="003D3955"/>
    <w:rsid w:val="003D410E"/>
    <w:rsid w:val="003D41C7"/>
    <w:rsid w:val="003D4290"/>
    <w:rsid w:val="003D46CC"/>
    <w:rsid w:val="003D5EA1"/>
    <w:rsid w:val="003D60B7"/>
    <w:rsid w:val="003D65C6"/>
    <w:rsid w:val="003D72D6"/>
    <w:rsid w:val="003D7496"/>
    <w:rsid w:val="003E01A8"/>
    <w:rsid w:val="003E09D8"/>
    <w:rsid w:val="003E10F9"/>
    <w:rsid w:val="003E1803"/>
    <w:rsid w:val="003E183F"/>
    <w:rsid w:val="003E1DDA"/>
    <w:rsid w:val="003E41C1"/>
    <w:rsid w:val="003E5602"/>
    <w:rsid w:val="003E57D5"/>
    <w:rsid w:val="003E5A0A"/>
    <w:rsid w:val="003E5DFC"/>
    <w:rsid w:val="003E5FAF"/>
    <w:rsid w:val="003E6DA1"/>
    <w:rsid w:val="003E7FC7"/>
    <w:rsid w:val="003F03AF"/>
    <w:rsid w:val="003F0854"/>
    <w:rsid w:val="003F092D"/>
    <w:rsid w:val="003F18B5"/>
    <w:rsid w:val="003F1AC4"/>
    <w:rsid w:val="003F2598"/>
    <w:rsid w:val="003F2769"/>
    <w:rsid w:val="003F28F1"/>
    <w:rsid w:val="003F2910"/>
    <w:rsid w:val="003F2ED4"/>
    <w:rsid w:val="003F32B4"/>
    <w:rsid w:val="003F3C02"/>
    <w:rsid w:val="003F4F40"/>
    <w:rsid w:val="003F55AC"/>
    <w:rsid w:val="003F5894"/>
    <w:rsid w:val="003F5CB2"/>
    <w:rsid w:val="003F6459"/>
    <w:rsid w:val="003F64EC"/>
    <w:rsid w:val="00400FC8"/>
    <w:rsid w:val="0040104F"/>
    <w:rsid w:val="004011E0"/>
    <w:rsid w:val="004024AE"/>
    <w:rsid w:val="004026BE"/>
    <w:rsid w:val="00402F81"/>
    <w:rsid w:val="00403813"/>
    <w:rsid w:val="00404462"/>
    <w:rsid w:val="00404964"/>
    <w:rsid w:val="00404AE3"/>
    <w:rsid w:val="0040554C"/>
    <w:rsid w:val="00405E13"/>
    <w:rsid w:val="00405E62"/>
    <w:rsid w:val="004062A3"/>
    <w:rsid w:val="004068F2"/>
    <w:rsid w:val="00406A6B"/>
    <w:rsid w:val="00406C78"/>
    <w:rsid w:val="00407643"/>
    <w:rsid w:val="004078ED"/>
    <w:rsid w:val="00410361"/>
    <w:rsid w:val="004104B5"/>
    <w:rsid w:val="00410D5C"/>
    <w:rsid w:val="00411B4A"/>
    <w:rsid w:val="0041210A"/>
    <w:rsid w:val="00412DC6"/>
    <w:rsid w:val="0041336B"/>
    <w:rsid w:val="0041343C"/>
    <w:rsid w:val="004136AE"/>
    <w:rsid w:val="00416BBF"/>
    <w:rsid w:val="00416EBD"/>
    <w:rsid w:val="0041739B"/>
    <w:rsid w:val="0041764D"/>
    <w:rsid w:val="0042013E"/>
    <w:rsid w:val="004202A1"/>
    <w:rsid w:val="00420568"/>
    <w:rsid w:val="00420771"/>
    <w:rsid w:val="00420ED0"/>
    <w:rsid w:val="004212F1"/>
    <w:rsid w:val="00421CA0"/>
    <w:rsid w:val="00421F2F"/>
    <w:rsid w:val="0042347D"/>
    <w:rsid w:val="00423C33"/>
    <w:rsid w:val="00423EB0"/>
    <w:rsid w:val="004243C3"/>
    <w:rsid w:val="00424D33"/>
    <w:rsid w:val="00425026"/>
    <w:rsid w:val="0042507C"/>
    <w:rsid w:val="0042644C"/>
    <w:rsid w:val="00426AC1"/>
    <w:rsid w:val="004273D5"/>
    <w:rsid w:val="00427607"/>
    <w:rsid w:val="00427612"/>
    <w:rsid w:val="00427BF6"/>
    <w:rsid w:val="0043080B"/>
    <w:rsid w:val="00430B89"/>
    <w:rsid w:val="00430FC4"/>
    <w:rsid w:val="0043160B"/>
    <w:rsid w:val="00431BAD"/>
    <w:rsid w:val="00433109"/>
    <w:rsid w:val="004334AE"/>
    <w:rsid w:val="0043357C"/>
    <w:rsid w:val="00434026"/>
    <w:rsid w:val="00437181"/>
    <w:rsid w:val="00437BE0"/>
    <w:rsid w:val="00437C7D"/>
    <w:rsid w:val="00442B7E"/>
    <w:rsid w:val="004432A4"/>
    <w:rsid w:val="00443509"/>
    <w:rsid w:val="00443B36"/>
    <w:rsid w:val="00446123"/>
    <w:rsid w:val="00446442"/>
    <w:rsid w:val="004470FB"/>
    <w:rsid w:val="004476BC"/>
    <w:rsid w:val="0044785E"/>
    <w:rsid w:val="00447D26"/>
    <w:rsid w:val="004507DC"/>
    <w:rsid w:val="00450BD4"/>
    <w:rsid w:val="00450F0C"/>
    <w:rsid w:val="00451619"/>
    <w:rsid w:val="004518C3"/>
    <w:rsid w:val="00451A0A"/>
    <w:rsid w:val="00451AF2"/>
    <w:rsid w:val="00452084"/>
    <w:rsid w:val="004531F5"/>
    <w:rsid w:val="00453D57"/>
    <w:rsid w:val="00454ED4"/>
    <w:rsid w:val="00455988"/>
    <w:rsid w:val="00455F3C"/>
    <w:rsid w:val="004560BB"/>
    <w:rsid w:val="004567D8"/>
    <w:rsid w:val="004571A4"/>
    <w:rsid w:val="00457FE3"/>
    <w:rsid w:val="004604A3"/>
    <w:rsid w:val="0046179B"/>
    <w:rsid w:val="00461D06"/>
    <w:rsid w:val="00462739"/>
    <w:rsid w:val="00463ACA"/>
    <w:rsid w:val="00463FD4"/>
    <w:rsid w:val="0046467E"/>
    <w:rsid w:val="00465B02"/>
    <w:rsid w:val="00466215"/>
    <w:rsid w:val="00466784"/>
    <w:rsid w:val="00467945"/>
    <w:rsid w:val="00467A55"/>
    <w:rsid w:val="004701A2"/>
    <w:rsid w:val="00470473"/>
    <w:rsid w:val="00470474"/>
    <w:rsid w:val="00470D2D"/>
    <w:rsid w:val="00473C35"/>
    <w:rsid w:val="00474179"/>
    <w:rsid w:val="00474AEF"/>
    <w:rsid w:val="00474F56"/>
    <w:rsid w:val="004777AC"/>
    <w:rsid w:val="00477BD9"/>
    <w:rsid w:val="00481D3C"/>
    <w:rsid w:val="00482941"/>
    <w:rsid w:val="00482974"/>
    <w:rsid w:val="00482A60"/>
    <w:rsid w:val="00482B5B"/>
    <w:rsid w:val="00483221"/>
    <w:rsid w:val="00483A2F"/>
    <w:rsid w:val="004842F6"/>
    <w:rsid w:val="00484F7E"/>
    <w:rsid w:val="00485117"/>
    <w:rsid w:val="004856B4"/>
    <w:rsid w:val="00486A98"/>
    <w:rsid w:val="00487A9D"/>
    <w:rsid w:val="00487EE1"/>
    <w:rsid w:val="004900A4"/>
    <w:rsid w:val="00491BEC"/>
    <w:rsid w:val="00492DC6"/>
    <w:rsid w:val="004932D0"/>
    <w:rsid w:val="0049351B"/>
    <w:rsid w:val="004940DD"/>
    <w:rsid w:val="004946C2"/>
    <w:rsid w:val="00494B74"/>
    <w:rsid w:val="0049501A"/>
    <w:rsid w:val="004954C4"/>
    <w:rsid w:val="00495541"/>
    <w:rsid w:val="0049570A"/>
    <w:rsid w:val="00497C61"/>
    <w:rsid w:val="004A0808"/>
    <w:rsid w:val="004A08A9"/>
    <w:rsid w:val="004A095E"/>
    <w:rsid w:val="004A0A11"/>
    <w:rsid w:val="004A0E13"/>
    <w:rsid w:val="004A1424"/>
    <w:rsid w:val="004A2383"/>
    <w:rsid w:val="004A24BE"/>
    <w:rsid w:val="004A33DE"/>
    <w:rsid w:val="004A36C4"/>
    <w:rsid w:val="004A3A17"/>
    <w:rsid w:val="004A44CA"/>
    <w:rsid w:val="004A4692"/>
    <w:rsid w:val="004A491B"/>
    <w:rsid w:val="004A4A87"/>
    <w:rsid w:val="004A5B70"/>
    <w:rsid w:val="004A6537"/>
    <w:rsid w:val="004A6BF3"/>
    <w:rsid w:val="004A7246"/>
    <w:rsid w:val="004B0539"/>
    <w:rsid w:val="004B2813"/>
    <w:rsid w:val="004B2B7A"/>
    <w:rsid w:val="004B2E29"/>
    <w:rsid w:val="004B31A6"/>
    <w:rsid w:val="004B3393"/>
    <w:rsid w:val="004B5055"/>
    <w:rsid w:val="004B5D30"/>
    <w:rsid w:val="004C017A"/>
    <w:rsid w:val="004C0459"/>
    <w:rsid w:val="004C05A7"/>
    <w:rsid w:val="004C112F"/>
    <w:rsid w:val="004C292C"/>
    <w:rsid w:val="004C351B"/>
    <w:rsid w:val="004C3787"/>
    <w:rsid w:val="004C38C2"/>
    <w:rsid w:val="004C3FEA"/>
    <w:rsid w:val="004C41B6"/>
    <w:rsid w:val="004C4624"/>
    <w:rsid w:val="004C4BED"/>
    <w:rsid w:val="004C4DB2"/>
    <w:rsid w:val="004C4E42"/>
    <w:rsid w:val="004C524C"/>
    <w:rsid w:val="004C5589"/>
    <w:rsid w:val="004C563A"/>
    <w:rsid w:val="004C6D6F"/>
    <w:rsid w:val="004C7F28"/>
    <w:rsid w:val="004D0FB9"/>
    <w:rsid w:val="004D33BE"/>
    <w:rsid w:val="004D3848"/>
    <w:rsid w:val="004D3B15"/>
    <w:rsid w:val="004D3D7A"/>
    <w:rsid w:val="004D3DDB"/>
    <w:rsid w:val="004D41BE"/>
    <w:rsid w:val="004D497B"/>
    <w:rsid w:val="004D523F"/>
    <w:rsid w:val="004D5593"/>
    <w:rsid w:val="004D6567"/>
    <w:rsid w:val="004D65D0"/>
    <w:rsid w:val="004D705E"/>
    <w:rsid w:val="004D74D5"/>
    <w:rsid w:val="004D7BB2"/>
    <w:rsid w:val="004E06D2"/>
    <w:rsid w:val="004E0CCC"/>
    <w:rsid w:val="004E15F6"/>
    <w:rsid w:val="004E1B90"/>
    <w:rsid w:val="004E1BD9"/>
    <w:rsid w:val="004E1E7E"/>
    <w:rsid w:val="004E22F3"/>
    <w:rsid w:val="004E29E0"/>
    <w:rsid w:val="004E4238"/>
    <w:rsid w:val="004E4400"/>
    <w:rsid w:val="004E4BB1"/>
    <w:rsid w:val="004E536E"/>
    <w:rsid w:val="004E57EF"/>
    <w:rsid w:val="004E6347"/>
    <w:rsid w:val="004E6AAE"/>
    <w:rsid w:val="004E6F4B"/>
    <w:rsid w:val="004E7661"/>
    <w:rsid w:val="004E7670"/>
    <w:rsid w:val="004E76F8"/>
    <w:rsid w:val="004E7D13"/>
    <w:rsid w:val="004F001D"/>
    <w:rsid w:val="004F05E3"/>
    <w:rsid w:val="004F0A1A"/>
    <w:rsid w:val="004F0E88"/>
    <w:rsid w:val="004F0F2C"/>
    <w:rsid w:val="004F18DD"/>
    <w:rsid w:val="004F1947"/>
    <w:rsid w:val="004F33A7"/>
    <w:rsid w:val="004F38EB"/>
    <w:rsid w:val="004F419C"/>
    <w:rsid w:val="004F4512"/>
    <w:rsid w:val="004F4E38"/>
    <w:rsid w:val="004F658B"/>
    <w:rsid w:val="004F6D37"/>
    <w:rsid w:val="0050115E"/>
    <w:rsid w:val="00502EBF"/>
    <w:rsid w:val="00505346"/>
    <w:rsid w:val="00505B8A"/>
    <w:rsid w:val="00506841"/>
    <w:rsid w:val="00506BFE"/>
    <w:rsid w:val="00506FA4"/>
    <w:rsid w:val="00507083"/>
    <w:rsid w:val="0050798D"/>
    <w:rsid w:val="00511212"/>
    <w:rsid w:val="005121C9"/>
    <w:rsid w:val="005134C1"/>
    <w:rsid w:val="00513E8A"/>
    <w:rsid w:val="005153F4"/>
    <w:rsid w:val="00517228"/>
    <w:rsid w:val="005172CE"/>
    <w:rsid w:val="00517529"/>
    <w:rsid w:val="0051781D"/>
    <w:rsid w:val="005200E1"/>
    <w:rsid w:val="0052089A"/>
    <w:rsid w:val="00520D2A"/>
    <w:rsid w:val="00521655"/>
    <w:rsid w:val="0052182F"/>
    <w:rsid w:val="005221B0"/>
    <w:rsid w:val="0052441E"/>
    <w:rsid w:val="0052468B"/>
    <w:rsid w:val="00524A8A"/>
    <w:rsid w:val="00526CBF"/>
    <w:rsid w:val="00527BB8"/>
    <w:rsid w:val="00530ABB"/>
    <w:rsid w:val="00530FB0"/>
    <w:rsid w:val="005313E1"/>
    <w:rsid w:val="005317F3"/>
    <w:rsid w:val="00531B34"/>
    <w:rsid w:val="0053237B"/>
    <w:rsid w:val="00533A30"/>
    <w:rsid w:val="00534BA4"/>
    <w:rsid w:val="00535530"/>
    <w:rsid w:val="00535D18"/>
    <w:rsid w:val="00537804"/>
    <w:rsid w:val="005405A5"/>
    <w:rsid w:val="005409DC"/>
    <w:rsid w:val="00540BC8"/>
    <w:rsid w:val="005415AE"/>
    <w:rsid w:val="005415E9"/>
    <w:rsid w:val="00542224"/>
    <w:rsid w:val="005424D7"/>
    <w:rsid w:val="005437BC"/>
    <w:rsid w:val="00544C8F"/>
    <w:rsid w:val="005450CB"/>
    <w:rsid w:val="005455B0"/>
    <w:rsid w:val="0054568A"/>
    <w:rsid w:val="00545965"/>
    <w:rsid w:val="00545D90"/>
    <w:rsid w:val="00546F08"/>
    <w:rsid w:val="0054714A"/>
    <w:rsid w:val="00547412"/>
    <w:rsid w:val="00547DFD"/>
    <w:rsid w:val="005505D0"/>
    <w:rsid w:val="00550839"/>
    <w:rsid w:val="005534C9"/>
    <w:rsid w:val="00553E82"/>
    <w:rsid w:val="005543F5"/>
    <w:rsid w:val="00554416"/>
    <w:rsid w:val="005545A6"/>
    <w:rsid w:val="00554B5B"/>
    <w:rsid w:val="00554B79"/>
    <w:rsid w:val="00554BB4"/>
    <w:rsid w:val="005563E8"/>
    <w:rsid w:val="00557196"/>
    <w:rsid w:val="00557984"/>
    <w:rsid w:val="00557E94"/>
    <w:rsid w:val="005601AE"/>
    <w:rsid w:val="005603BA"/>
    <w:rsid w:val="00560461"/>
    <w:rsid w:val="005614BA"/>
    <w:rsid w:val="0056179A"/>
    <w:rsid w:val="0056218B"/>
    <w:rsid w:val="005621F3"/>
    <w:rsid w:val="0056246A"/>
    <w:rsid w:val="00562931"/>
    <w:rsid w:val="00562E30"/>
    <w:rsid w:val="005641CE"/>
    <w:rsid w:val="00566631"/>
    <w:rsid w:val="00566886"/>
    <w:rsid w:val="005679ED"/>
    <w:rsid w:val="00567A64"/>
    <w:rsid w:val="00570437"/>
    <w:rsid w:val="005712CF"/>
    <w:rsid w:val="005716AA"/>
    <w:rsid w:val="00571F5F"/>
    <w:rsid w:val="00572370"/>
    <w:rsid w:val="00572D8E"/>
    <w:rsid w:val="00573B8F"/>
    <w:rsid w:val="0057597B"/>
    <w:rsid w:val="005759C9"/>
    <w:rsid w:val="00575EF7"/>
    <w:rsid w:val="00576854"/>
    <w:rsid w:val="00576D37"/>
    <w:rsid w:val="00576FBD"/>
    <w:rsid w:val="00577928"/>
    <w:rsid w:val="00577A61"/>
    <w:rsid w:val="00580B7B"/>
    <w:rsid w:val="00580DF0"/>
    <w:rsid w:val="005817FE"/>
    <w:rsid w:val="00581C04"/>
    <w:rsid w:val="00581C09"/>
    <w:rsid w:val="00582FE6"/>
    <w:rsid w:val="005837F1"/>
    <w:rsid w:val="00583878"/>
    <w:rsid w:val="00583D88"/>
    <w:rsid w:val="005843F3"/>
    <w:rsid w:val="00584625"/>
    <w:rsid w:val="00584B0E"/>
    <w:rsid w:val="005856B9"/>
    <w:rsid w:val="005875F2"/>
    <w:rsid w:val="005934A2"/>
    <w:rsid w:val="00593683"/>
    <w:rsid w:val="005960AD"/>
    <w:rsid w:val="0059676C"/>
    <w:rsid w:val="0059770B"/>
    <w:rsid w:val="00597F94"/>
    <w:rsid w:val="005A02D2"/>
    <w:rsid w:val="005A03A0"/>
    <w:rsid w:val="005A044F"/>
    <w:rsid w:val="005A0DE3"/>
    <w:rsid w:val="005A1435"/>
    <w:rsid w:val="005A18E1"/>
    <w:rsid w:val="005A39AD"/>
    <w:rsid w:val="005A485A"/>
    <w:rsid w:val="005A4FB8"/>
    <w:rsid w:val="005A5308"/>
    <w:rsid w:val="005A5472"/>
    <w:rsid w:val="005A5ABD"/>
    <w:rsid w:val="005A622F"/>
    <w:rsid w:val="005A70ED"/>
    <w:rsid w:val="005A766F"/>
    <w:rsid w:val="005B0DE5"/>
    <w:rsid w:val="005B0EDC"/>
    <w:rsid w:val="005B1137"/>
    <w:rsid w:val="005B1A6F"/>
    <w:rsid w:val="005B1FC1"/>
    <w:rsid w:val="005B26AE"/>
    <w:rsid w:val="005B26E0"/>
    <w:rsid w:val="005B2B37"/>
    <w:rsid w:val="005B5086"/>
    <w:rsid w:val="005B5DB2"/>
    <w:rsid w:val="005B7D5C"/>
    <w:rsid w:val="005C0178"/>
    <w:rsid w:val="005C1119"/>
    <w:rsid w:val="005C1B81"/>
    <w:rsid w:val="005C2155"/>
    <w:rsid w:val="005C2EA8"/>
    <w:rsid w:val="005C4522"/>
    <w:rsid w:val="005C4615"/>
    <w:rsid w:val="005C4AC3"/>
    <w:rsid w:val="005C4EC4"/>
    <w:rsid w:val="005C5AFD"/>
    <w:rsid w:val="005C5B62"/>
    <w:rsid w:val="005C5C7F"/>
    <w:rsid w:val="005C65FE"/>
    <w:rsid w:val="005C66BF"/>
    <w:rsid w:val="005C6952"/>
    <w:rsid w:val="005C7D3A"/>
    <w:rsid w:val="005D02E4"/>
    <w:rsid w:val="005D03BE"/>
    <w:rsid w:val="005D09F5"/>
    <w:rsid w:val="005D188E"/>
    <w:rsid w:val="005D1D95"/>
    <w:rsid w:val="005D1E9A"/>
    <w:rsid w:val="005D2703"/>
    <w:rsid w:val="005D2BF4"/>
    <w:rsid w:val="005D2FC0"/>
    <w:rsid w:val="005D35AC"/>
    <w:rsid w:val="005D3B62"/>
    <w:rsid w:val="005D5E73"/>
    <w:rsid w:val="005D60D2"/>
    <w:rsid w:val="005D6478"/>
    <w:rsid w:val="005D6698"/>
    <w:rsid w:val="005D690C"/>
    <w:rsid w:val="005D7BD6"/>
    <w:rsid w:val="005E03FE"/>
    <w:rsid w:val="005E060D"/>
    <w:rsid w:val="005E0FBA"/>
    <w:rsid w:val="005E1A08"/>
    <w:rsid w:val="005E1B9B"/>
    <w:rsid w:val="005E1E9F"/>
    <w:rsid w:val="005E2342"/>
    <w:rsid w:val="005E2817"/>
    <w:rsid w:val="005E3286"/>
    <w:rsid w:val="005E5633"/>
    <w:rsid w:val="005E5AE4"/>
    <w:rsid w:val="005E5CE6"/>
    <w:rsid w:val="005E62D7"/>
    <w:rsid w:val="005E7187"/>
    <w:rsid w:val="005E7235"/>
    <w:rsid w:val="005F0044"/>
    <w:rsid w:val="005F00BA"/>
    <w:rsid w:val="005F0469"/>
    <w:rsid w:val="005F050C"/>
    <w:rsid w:val="005F0F76"/>
    <w:rsid w:val="005F11BB"/>
    <w:rsid w:val="005F11D2"/>
    <w:rsid w:val="005F17B9"/>
    <w:rsid w:val="005F2FA2"/>
    <w:rsid w:val="005F32E7"/>
    <w:rsid w:val="005F3793"/>
    <w:rsid w:val="005F451A"/>
    <w:rsid w:val="005F5F40"/>
    <w:rsid w:val="005F663F"/>
    <w:rsid w:val="005F6BB0"/>
    <w:rsid w:val="005F73CE"/>
    <w:rsid w:val="00600DDC"/>
    <w:rsid w:val="00600EDA"/>
    <w:rsid w:val="00601185"/>
    <w:rsid w:val="00603BBD"/>
    <w:rsid w:val="006046C4"/>
    <w:rsid w:val="00604784"/>
    <w:rsid w:val="00604B81"/>
    <w:rsid w:val="00604FA2"/>
    <w:rsid w:val="006059D8"/>
    <w:rsid w:val="00606FBB"/>
    <w:rsid w:val="006070AA"/>
    <w:rsid w:val="0060775F"/>
    <w:rsid w:val="00607B04"/>
    <w:rsid w:val="0061009A"/>
    <w:rsid w:val="006119D4"/>
    <w:rsid w:val="00612E04"/>
    <w:rsid w:val="00613777"/>
    <w:rsid w:val="00613C16"/>
    <w:rsid w:val="0061477F"/>
    <w:rsid w:val="00614822"/>
    <w:rsid w:val="00614F87"/>
    <w:rsid w:val="0061540C"/>
    <w:rsid w:val="00615440"/>
    <w:rsid w:val="00617683"/>
    <w:rsid w:val="0062133B"/>
    <w:rsid w:val="00621373"/>
    <w:rsid w:val="00621844"/>
    <w:rsid w:val="00621960"/>
    <w:rsid w:val="006222BE"/>
    <w:rsid w:val="006226B1"/>
    <w:rsid w:val="00622D62"/>
    <w:rsid w:val="00623507"/>
    <w:rsid w:val="0062373B"/>
    <w:rsid w:val="0062383D"/>
    <w:rsid w:val="00624199"/>
    <w:rsid w:val="00624314"/>
    <w:rsid w:val="006253B9"/>
    <w:rsid w:val="006259D2"/>
    <w:rsid w:val="00625EE1"/>
    <w:rsid w:val="00625F38"/>
    <w:rsid w:val="006260BE"/>
    <w:rsid w:val="006264F2"/>
    <w:rsid w:val="00630F7D"/>
    <w:rsid w:val="00631252"/>
    <w:rsid w:val="0063188C"/>
    <w:rsid w:val="0063276A"/>
    <w:rsid w:val="00633195"/>
    <w:rsid w:val="006331F3"/>
    <w:rsid w:val="00633C62"/>
    <w:rsid w:val="00633EFF"/>
    <w:rsid w:val="0063454F"/>
    <w:rsid w:val="0063480B"/>
    <w:rsid w:val="00635769"/>
    <w:rsid w:val="006363EC"/>
    <w:rsid w:val="00636470"/>
    <w:rsid w:val="00636C26"/>
    <w:rsid w:val="00637FAD"/>
    <w:rsid w:val="006406BE"/>
    <w:rsid w:val="00640AE9"/>
    <w:rsid w:val="006418B7"/>
    <w:rsid w:val="006418F9"/>
    <w:rsid w:val="00642608"/>
    <w:rsid w:val="0064263E"/>
    <w:rsid w:val="0064265A"/>
    <w:rsid w:val="006429A9"/>
    <w:rsid w:val="00642A30"/>
    <w:rsid w:val="00642ECA"/>
    <w:rsid w:val="006434CA"/>
    <w:rsid w:val="006434E6"/>
    <w:rsid w:val="006434F7"/>
    <w:rsid w:val="00643526"/>
    <w:rsid w:val="006439D5"/>
    <w:rsid w:val="00643BD5"/>
    <w:rsid w:val="006452DC"/>
    <w:rsid w:val="00645513"/>
    <w:rsid w:val="00650E63"/>
    <w:rsid w:val="00651161"/>
    <w:rsid w:val="0065198B"/>
    <w:rsid w:val="006520F6"/>
    <w:rsid w:val="0065317F"/>
    <w:rsid w:val="00653A75"/>
    <w:rsid w:val="006541C4"/>
    <w:rsid w:val="006542FE"/>
    <w:rsid w:val="00654B24"/>
    <w:rsid w:val="00655278"/>
    <w:rsid w:val="00656321"/>
    <w:rsid w:val="00657247"/>
    <w:rsid w:val="00657316"/>
    <w:rsid w:val="00657545"/>
    <w:rsid w:val="00660A64"/>
    <w:rsid w:val="00660FD3"/>
    <w:rsid w:val="00661118"/>
    <w:rsid w:val="00661257"/>
    <w:rsid w:val="00661F38"/>
    <w:rsid w:val="00661FEC"/>
    <w:rsid w:val="00662B0A"/>
    <w:rsid w:val="00663A3B"/>
    <w:rsid w:val="00663B0A"/>
    <w:rsid w:val="0066475C"/>
    <w:rsid w:val="0066495D"/>
    <w:rsid w:val="00665D57"/>
    <w:rsid w:val="00666100"/>
    <w:rsid w:val="0066660C"/>
    <w:rsid w:val="00666749"/>
    <w:rsid w:val="00667188"/>
    <w:rsid w:val="006672A0"/>
    <w:rsid w:val="00667368"/>
    <w:rsid w:val="0066737F"/>
    <w:rsid w:val="006673DD"/>
    <w:rsid w:val="0066740D"/>
    <w:rsid w:val="006674FB"/>
    <w:rsid w:val="006705CF"/>
    <w:rsid w:val="00671C5A"/>
    <w:rsid w:val="00672790"/>
    <w:rsid w:val="00673505"/>
    <w:rsid w:val="0067371A"/>
    <w:rsid w:val="00673A9B"/>
    <w:rsid w:val="00673F1D"/>
    <w:rsid w:val="00674368"/>
    <w:rsid w:val="00674393"/>
    <w:rsid w:val="006757FD"/>
    <w:rsid w:val="00676142"/>
    <w:rsid w:val="006812C4"/>
    <w:rsid w:val="006817CB"/>
    <w:rsid w:val="00681F46"/>
    <w:rsid w:val="00683292"/>
    <w:rsid w:val="00683812"/>
    <w:rsid w:val="00683D05"/>
    <w:rsid w:val="00684234"/>
    <w:rsid w:val="00684852"/>
    <w:rsid w:val="00684E63"/>
    <w:rsid w:val="0068513E"/>
    <w:rsid w:val="00685375"/>
    <w:rsid w:val="00685A20"/>
    <w:rsid w:val="00686B62"/>
    <w:rsid w:val="00686E69"/>
    <w:rsid w:val="0068701A"/>
    <w:rsid w:val="006870BE"/>
    <w:rsid w:val="00687C08"/>
    <w:rsid w:val="00690E35"/>
    <w:rsid w:val="00691240"/>
    <w:rsid w:val="00691FE4"/>
    <w:rsid w:val="00692688"/>
    <w:rsid w:val="006929D0"/>
    <w:rsid w:val="00692AF7"/>
    <w:rsid w:val="006930CF"/>
    <w:rsid w:val="00693CA7"/>
    <w:rsid w:val="00694073"/>
    <w:rsid w:val="0069594D"/>
    <w:rsid w:val="00695DC2"/>
    <w:rsid w:val="0069652C"/>
    <w:rsid w:val="006967C0"/>
    <w:rsid w:val="00696C01"/>
    <w:rsid w:val="00696EA1"/>
    <w:rsid w:val="006A12CB"/>
    <w:rsid w:val="006A138F"/>
    <w:rsid w:val="006A26AB"/>
    <w:rsid w:val="006A318D"/>
    <w:rsid w:val="006A3369"/>
    <w:rsid w:val="006A34CD"/>
    <w:rsid w:val="006A359B"/>
    <w:rsid w:val="006A416D"/>
    <w:rsid w:val="006A573C"/>
    <w:rsid w:val="006A76F6"/>
    <w:rsid w:val="006A7AEB"/>
    <w:rsid w:val="006A7B91"/>
    <w:rsid w:val="006B0E52"/>
    <w:rsid w:val="006B0F05"/>
    <w:rsid w:val="006B103A"/>
    <w:rsid w:val="006B256D"/>
    <w:rsid w:val="006B2871"/>
    <w:rsid w:val="006B2CE3"/>
    <w:rsid w:val="006B3046"/>
    <w:rsid w:val="006B3753"/>
    <w:rsid w:val="006B4089"/>
    <w:rsid w:val="006B4C5A"/>
    <w:rsid w:val="006B4DC4"/>
    <w:rsid w:val="006B4F8E"/>
    <w:rsid w:val="006B51C7"/>
    <w:rsid w:val="006B52A6"/>
    <w:rsid w:val="006B62B4"/>
    <w:rsid w:val="006B62BF"/>
    <w:rsid w:val="006B6C5B"/>
    <w:rsid w:val="006B7D29"/>
    <w:rsid w:val="006C0796"/>
    <w:rsid w:val="006C0F76"/>
    <w:rsid w:val="006C0FA5"/>
    <w:rsid w:val="006C1705"/>
    <w:rsid w:val="006C3349"/>
    <w:rsid w:val="006C45FC"/>
    <w:rsid w:val="006C713D"/>
    <w:rsid w:val="006C7163"/>
    <w:rsid w:val="006C7249"/>
    <w:rsid w:val="006C7500"/>
    <w:rsid w:val="006C7944"/>
    <w:rsid w:val="006C7D68"/>
    <w:rsid w:val="006D019F"/>
    <w:rsid w:val="006D07DD"/>
    <w:rsid w:val="006D0D22"/>
    <w:rsid w:val="006D1877"/>
    <w:rsid w:val="006D2686"/>
    <w:rsid w:val="006D47F6"/>
    <w:rsid w:val="006D50A4"/>
    <w:rsid w:val="006D528A"/>
    <w:rsid w:val="006D56C2"/>
    <w:rsid w:val="006D5EE9"/>
    <w:rsid w:val="006D6A86"/>
    <w:rsid w:val="006D70C9"/>
    <w:rsid w:val="006D725F"/>
    <w:rsid w:val="006D75AF"/>
    <w:rsid w:val="006D7AC5"/>
    <w:rsid w:val="006E109A"/>
    <w:rsid w:val="006E140D"/>
    <w:rsid w:val="006E15EB"/>
    <w:rsid w:val="006E1C06"/>
    <w:rsid w:val="006E1D71"/>
    <w:rsid w:val="006E26D4"/>
    <w:rsid w:val="006E2AE9"/>
    <w:rsid w:val="006E3249"/>
    <w:rsid w:val="006E3F64"/>
    <w:rsid w:val="006E5255"/>
    <w:rsid w:val="006E5670"/>
    <w:rsid w:val="006E5765"/>
    <w:rsid w:val="006E6E78"/>
    <w:rsid w:val="006E70F7"/>
    <w:rsid w:val="006E7320"/>
    <w:rsid w:val="006E744D"/>
    <w:rsid w:val="006E7BE4"/>
    <w:rsid w:val="006E7DE6"/>
    <w:rsid w:val="006E7E98"/>
    <w:rsid w:val="006F010F"/>
    <w:rsid w:val="006F06EF"/>
    <w:rsid w:val="006F0C50"/>
    <w:rsid w:val="006F0F2A"/>
    <w:rsid w:val="006F138F"/>
    <w:rsid w:val="006F2800"/>
    <w:rsid w:val="006F30D4"/>
    <w:rsid w:val="006F3210"/>
    <w:rsid w:val="006F35F6"/>
    <w:rsid w:val="006F5A3C"/>
    <w:rsid w:val="006F5E7D"/>
    <w:rsid w:val="006F63A7"/>
    <w:rsid w:val="006F7090"/>
    <w:rsid w:val="006F722C"/>
    <w:rsid w:val="006F7256"/>
    <w:rsid w:val="0070028E"/>
    <w:rsid w:val="00700378"/>
    <w:rsid w:val="00700437"/>
    <w:rsid w:val="00700B45"/>
    <w:rsid w:val="00700E89"/>
    <w:rsid w:val="00701863"/>
    <w:rsid w:val="00701A82"/>
    <w:rsid w:val="007021EE"/>
    <w:rsid w:val="007029C9"/>
    <w:rsid w:val="007036F9"/>
    <w:rsid w:val="007041F4"/>
    <w:rsid w:val="00704355"/>
    <w:rsid w:val="00705148"/>
    <w:rsid w:val="00705745"/>
    <w:rsid w:val="0070620A"/>
    <w:rsid w:val="00706925"/>
    <w:rsid w:val="00707464"/>
    <w:rsid w:val="00710782"/>
    <w:rsid w:val="00710E12"/>
    <w:rsid w:val="00710EDC"/>
    <w:rsid w:val="00711005"/>
    <w:rsid w:val="00711144"/>
    <w:rsid w:val="0071300C"/>
    <w:rsid w:val="00713A24"/>
    <w:rsid w:val="00713D38"/>
    <w:rsid w:val="00713F09"/>
    <w:rsid w:val="007143CE"/>
    <w:rsid w:val="0071473C"/>
    <w:rsid w:val="00714BF9"/>
    <w:rsid w:val="007161BB"/>
    <w:rsid w:val="00716700"/>
    <w:rsid w:val="00717823"/>
    <w:rsid w:val="00720780"/>
    <w:rsid w:val="00720AF7"/>
    <w:rsid w:val="007210FF"/>
    <w:rsid w:val="0072134E"/>
    <w:rsid w:val="00721ED3"/>
    <w:rsid w:val="00722F7F"/>
    <w:rsid w:val="00724CB6"/>
    <w:rsid w:val="00725482"/>
    <w:rsid w:val="00725812"/>
    <w:rsid w:val="00725E1D"/>
    <w:rsid w:val="00726502"/>
    <w:rsid w:val="00726693"/>
    <w:rsid w:val="0072728D"/>
    <w:rsid w:val="00730480"/>
    <w:rsid w:val="00730A66"/>
    <w:rsid w:val="00730B0F"/>
    <w:rsid w:val="00731335"/>
    <w:rsid w:val="00732230"/>
    <w:rsid w:val="00732477"/>
    <w:rsid w:val="00732675"/>
    <w:rsid w:val="00732F26"/>
    <w:rsid w:val="007330B2"/>
    <w:rsid w:val="0073317C"/>
    <w:rsid w:val="0073334F"/>
    <w:rsid w:val="00733A1C"/>
    <w:rsid w:val="00733AE6"/>
    <w:rsid w:val="00735245"/>
    <w:rsid w:val="00736835"/>
    <w:rsid w:val="007374B0"/>
    <w:rsid w:val="00740273"/>
    <w:rsid w:val="00740300"/>
    <w:rsid w:val="00740753"/>
    <w:rsid w:val="00741223"/>
    <w:rsid w:val="00741E68"/>
    <w:rsid w:val="00742AFD"/>
    <w:rsid w:val="00742B9F"/>
    <w:rsid w:val="0074316F"/>
    <w:rsid w:val="007432F9"/>
    <w:rsid w:val="007445A0"/>
    <w:rsid w:val="007446F6"/>
    <w:rsid w:val="00744F6E"/>
    <w:rsid w:val="0074510B"/>
    <w:rsid w:val="00745775"/>
    <w:rsid w:val="007462EF"/>
    <w:rsid w:val="0074699C"/>
    <w:rsid w:val="00747096"/>
    <w:rsid w:val="007476E6"/>
    <w:rsid w:val="00747C36"/>
    <w:rsid w:val="00750EEA"/>
    <w:rsid w:val="0075117A"/>
    <w:rsid w:val="0075171B"/>
    <w:rsid w:val="007523B5"/>
    <w:rsid w:val="00752E6D"/>
    <w:rsid w:val="0075305A"/>
    <w:rsid w:val="007530B4"/>
    <w:rsid w:val="0075323B"/>
    <w:rsid w:val="00753506"/>
    <w:rsid w:val="00753C28"/>
    <w:rsid w:val="00754274"/>
    <w:rsid w:val="00754324"/>
    <w:rsid w:val="007548B7"/>
    <w:rsid w:val="00755004"/>
    <w:rsid w:val="0075611B"/>
    <w:rsid w:val="0075786D"/>
    <w:rsid w:val="00757E8F"/>
    <w:rsid w:val="00760474"/>
    <w:rsid w:val="00760481"/>
    <w:rsid w:val="00760B0D"/>
    <w:rsid w:val="00760FE1"/>
    <w:rsid w:val="00762E34"/>
    <w:rsid w:val="007635E3"/>
    <w:rsid w:val="00763D5E"/>
    <w:rsid w:val="00764DED"/>
    <w:rsid w:val="00765186"/>
    <w:rsid w:val="00765361"/>
    <w:rsid w:val="00765922"/>
    <w:rsid w:val="00766492"/>
    <w:rsid w:val="00766D48"/>
    <w:rsid w:val="0076715A"/>
    <w:rsid w:val="007677CF"/>
    <w:rsid w:val="00767907"/>
    <w:rsid w:val="00767E81"/>
    <w:rsid w:val="007700EB"/>
    <w:rsid w:val="00770695"/>
    <w:rsid w:val="0077196B"/>
    <w:rsid w:val="00771A22"/>
    <w:rsid w:val="00771FB7"/>
    <w:rsid w:val="00772DD0"/>
    <w:rsid w:val="00773FC5"/>
    <w:rsid w:val="0077469B"/>
    <w:rsid w:val="00774E6E"/>
    <w:rsid w:val="00776140"/>
    <w:rsid w:val="00776540"/>
    <w:rsid w:val="0077655E"/>
    <w:rsid w:val="00776833"/>
    <w:rsid w:val="00777065"/>
    <w:rsid w:val="0077731E"/>
    <w:rsid w:val="00780816"/>
    <w:rsid w:val="00780EBA"/>
    <w:rsid w:val="007815AB"/>
    <w:rsid w:val="007817B4"/>
    <w:rsid w:val="00782297"/>
    <w:rsid w:val="007833C0"/>
    <w:rsid w:val="00783A4F"/>
    <w:rsid w:val="00783FCD"/>
    <w:rsid w:val="00784D6E"/>
    <w:rsid w:val="00784EA9"/>
    <w:rsid w:val="00785AA0"/>
    <w:rsid w:val="00785C83"/>
    <w:rsid w:val="0078630D"/>
    <w:rsid w:val="0078659B"/>
    <w:rsid w:val="00786D70"/>
    <w:rsid w:val="007877E6"/>
    <w:rsid w:val="00790A8F"/>
    <w:rsid w:val="007911BC"/>
    <w:rsid w:val="00791B56"/>
    <w:rsid w:val="00791D52"/>
    <w:rsid w:val="00792196"/>
    <w:rsid w:val="00792F5A"/>
    <w:rsid w:val="007930BB"/>
    <w:rsid w:val="007931FD"/>
    <w:rsid w:val="00793614"/>
    <w:rsid w:val="0079384D"/>
    <w:rsid w:val="0079426D"/>
    <w:rsid w:val="007942AE"/>
    <w:rsid w:val="0079480C"/>
    <w:rsid w:val="007976E5"/>
    <w:rsid w:val="00797DCE"/>
    <w:rsid w:val="007A006F"/>
    <w:rsid w:val="007A0A8A"/>
    <w:rsid w:val="007A0DD6"/>
    <w:rsid w:val="007A10F1"/>
    <w:rsid w:val="007A1D7C"/>
    <w:rsid w:val="007A24A9"/>
    <w:rsid w:val="007A2A21"/>
    <w:rsid w:val="007A2B4D"/>
    <w:rsid w:val="007A32D9"/>
    <w:rsid w:val="007A42AB"/>
    <w:rsid w:val="007A483E"/>
    <w:rsid w:val="007A523F"/>
    <w:rsid w:val="007A6B42"/>
    <w:rsid w:val="007A7208"/>
    <w:rsid w:val="007B01DA"/>
    <w:rsid w:val="007B01F8"/>
    <w:rsid w:val="007B0887"/>
    <w:rsid w:val="007B0AE8"/>
    <w:rsid w:val="007B1AD0"/>
    <w:rsid w:val="007B33C5"/>
    <w:rsid w:val="007B38E4"/>
    <w:rsid w:val="007B4597"/>
    <w:rsid w:val="007B4735"/>
    <w:rsid w:val="007B50E2"/>
    <w:rsid w:val="007B5493"/>
    <w:rsid w:val="007B5607"/>
    <w:rsid w:val="007B6275"/>
    <w:rsid w:val="007C020B"/>
    <w:rsid w:val="007C04A4"/>
    <w:rsid w:val="007C192C"/>
    <w:rsid w:val="007C1B73"/>
    <w:rsid w:val="007C22D6"/>
    <w:rsid w:val="007C2A79"/>
    <w:rsid w:val="007C2AC3"/>
    <w:rsid w:val="007C3BFA"/>
    <w:rsid w:val="007C3EC4"/>
    <w:rsid w:val="007C4706"/>
    <w:rsid w:val="007C4EAA"/>
    <w:rsid w:val="007C4F79"/>
    <w:rsid w:val="007C5072"/>
    <w:rsid w:val="007C6664"/>
    <w:rsid w:val="007C6694"/>
    <w:rsid w:val="007C6DE2"/>
    <w:rsid w:val="007C78B7"/>
    <w:rsid w:val="007C7BBF"/>
    <w:rsid w:val="007D130D"/>
    <w:rsid w:val="007D16E2"/>
    <w:rsid w:val="007D175B"/>
    <w:rsid w:val="007D1C01"/>
    <w:rsid w:val="007D219A"/>
    <w:rsid w:val="007D3F38"/>
    <w:rsid w:val="007D48EC"/>
    <w:rsid w:val="007D49C9"/>
    <w:rsid w:val="007D5C83"/>
    <w:rsid w:val="007D652B"/>
    <w:rsid w:val="007D66B6"/>
    <w:rsid w:val="007D6CC7"/>
    <w:rsid w:val="007E07FF"/>
    <w:rsid w:val="007E135A"/>
    <w:rsid w:val="007E1362"/>
    <w:rsid w:val="007E1706"/>
    <w:rsid w:val="007E2086"/>
    <w:rsid w:val="007E27BF"/>
    <w:rsid w:val="007E2E18"/>
    <w:rsid w:val="007E31B4"/>
    <w:rsid w:val="007E3C07"/>
    <w:rsid w:val="007E4905"/>
    <w:rsid w:val="007E5500"/>
    <w:rsid w:val="007E69E7"/>
    <w:rsid w:val="007E6B26"/>
    <w:rsid w:val="007E6F42"/>
    <w:rsid w:val="007E7CDE"/>
    <w:rsid w:val="007F04AE"/>
    <w:rsid w:val="007F054A"/>
    <w:rsid w:val="007F17E8"/>
    <w:rsid w:val="007F1AF3"/>
    <w:rsid w:val="007F1BC2"/>
    <w:rsid w:val="007F1E63"/>
    <w:rsid w:val="007F37AB"/>
    <w:rsid w:val="007F3A8E"/>
    <w:rsid w:val="007F3D7F"/>
    <w:rsid w:val="007F45CE"/>
    <w:rsid w:val="007F4801"/>
    <w:rsid w:val="007F5714"/>
    <w:rsid w:val="007F6084"/>
    <w:rsid w:val="007F74DD"/>
    <w:rsid w:val="007F7BC5"/>
    <w:rsid w:val="00800358"/>
    <w:rsid w:val="00800363"/>
    <w:rsid w:val="0080050F"/>
    <w:rsid w:val="008016BB"/>
    <w:rsid w:val="0080185B"/>
    <w:rsid w:val="00802018"/>
    <w:rsid w:val="0080289B"/>
    <w:rsid w:val="00802CA0"/>
    <w:rsid w:val="00803A4A"/>
    <w:rsid w:val="00803D0E"/>
    <w:rsid w:val="00803E0F"/>
    <w:rsid w:val="00804FE6"/>
    <w:rsid w:val="008055DE"/>
    <w:rsid w:val="008059F3"/>
    <w:rsid w:val="00805D57"/>
    <w:rsid w:val="0080617E"/>
    <w:rsid w:val="00806382"/>
    <w:rsid w:val="00807454"/>
    <w:rsid w:val="00810302"/>
    <w:rsid w:val="008105E1"/>
    <w:rsid w:val="0081084A"/>
    <w:rsid w:val="00810AEC"/>
    <w:rsid w:val="00812CFF"/>
    <w:rsid w:val="00812E94"/>
    <w:rsid w:val="00812F21"/>
    <w:rsid w:val="00813A33"/>
    <w:rsid w:val="0081596B"/>
    <w:rsid w:val="00815D7E"/>
    <w:rsid w:val="00816432"/>
    <w:rsid w:val="00816DCD"/>
    <w:rsid w:val="00816FF3"/>
    <w:rsid w:val="008172CC"/>
    <w:rsid w:val="008177AC"/>
    <w:rsid w:val="00817D70"/>
    <w:rsid w:val="00820EE8"/>
    <w:rsid w:val="008225DD"/>
    <w:rsid w:val="008233AC"/>
    <w:rsid w:val="0082567C"/>
    <w:rsid w:val="00825895"/>
    <w:rsid w:val="00826609"/>
    <w:rsid w:val="008266DC"/>
    <w:rsid w:val="00826A13"/>
    <w:rsid w:val="00827315"/>
    <w:rsid w:val="00827427"/>
    <w:rsid w:val="0082758B"/>
    <w:rsid w:val="0082795C"/>
    <w:rsid w:val="00827C76"/>
    <w:rsid w:val="00830101"/>
    <w:rsid w:val="00830A96"/>
    <w:rsid w:val="00830B3E"/>
    <w:rsid w:val="00831015"/>
    <w:rsid w:val="00831662"/>
    <w:rsid w:val="00831CB1"/>
    <w:rsid w:val="00831E3C"/>
    <w:rsid w:val="008328DD"/>
    <w:rsid w:val="008342F7"/>
    <w:rsid w:val="00834709"/>
    <w:rsid w:val="00834A28"/>
    <w:rsid w:val="00835E37"/>
    <w:rsid w:val="008364BF"/>
    <w:rsid w:val="00836500"/>
    <w:rsid w:val="008369F2"/>
    <w:rsid w:val="00837A69"/>
    <w:rsid w:val="00840741"/>
    <w:rsid w:val="00840D64"/>
    <w:rsid w:val="008416AA"/>
    <w:rsid w:val="0084244A"/>
    <w:rsid w:val="00842737"/>
    <w:rsid w:val="00842F4D"/>
    <w:rsid w:val="00843F3E"/>
    <w:rsid w:val="008444E8"/>
    <w:rsid w:val="00844B58"/>
    <w:rsid w:val="008457D3"/>
    <w:rsid w:val="00845E05"/>
    <w:rsid w:val="00846199"/>
    <w:rsid w:val="00850E29"/>
    <w:rsid w:val="008519D5"/>
    <w:rsid w:val="00851D83"/>
    <w:rsid w:val="00853213"/>
    <w:rsid w:val="00853249"/>
    <w:rsid w:val="0085326C"/>
    <w:rsid w:val="00853395"/>
    <w:rsid w:val="0085350B"/>
    <w:rsid w:val="008535EA"/>
    <w:rsid w:val="00853864"/>
    <w:rsid w:val="008538E0"/>
    <w:rsid w:val="0085422A"/>
    <w:rsid w:val="00854D40"/>
    <w:rsid w:val="00855B02"/>
    <w:rsid w:val="00855D89"/>
    <w:rsid w:val="0085676B"/>
    <w:rsid w:val="00857D30"/>
    <w:rsid w:val="0086006B"/>
    <w:rsid w:val="008603BB"/>
    <w:rsid w:val="00861778"/>
    <w:rsid w:val="00861A56"/>
    <w:rsid w:val="00861E44"/>
    <w:rsid w:val="00862267"/>
    <w:rsid w:val="00862767"/>
    <w:rsid w:val="00863B46"/>
    <w:rsid w:val="00864350"/>
    <w:rsid w:val="00864A5E"/>
    <w:rsid w:val="008654CD"/>
    <w:rsid w:val="0086586F"/>
    <w:rsid w:val="0086652F"/>
    <w:rsid w:val="00866865"/>
    <w:rsid w:val="00866BFC"/>
    <w:rsid w:val="00867D46"/>
    <w:rsid w:val="00870C60"/>
    <w:rsid w:val="00870D0C"/>
    <w:rsid w:val="008710A0"/>
    <w:rsid w:val="00871618"/>
    <w:rsid w:val="0087185F"/>
    <w:rsid w:val="00871AED"/>
    <w:rsid w:val="00872064"/>
    <w:rsid w:val="008733CF"/>
    <w:rsid w:val="0087342C"/>
    <w:rsid w:val="00875CF7"/>
    <w:rsid w:val="00875FA5"/>
    <w:rsid w:val="00876055"/>
    <w:rsid w:val="00876668"/>
    <w:rsid w:val="00877511"/>
    <w:rsid w:val="008801A6"/>
    <w:rsid w:val="0088099B"/>
    <w:rsid w:val="00880EFD"/>
    <w:rsid w:val="00881394"/>
    <w:rsid w:val="0088251E"/>
    <w:rsid w:val="00882D12"/>
    <w:rsid w:val="00882D5F"/>
    <w:rsid w:val="00882E40"/>
    <w:rsid w:val="00883022"/>
    <w:rsid w:val="0088383C"/>
    <w:rsid w:val="00884AF3"/>
    <w:rsid w:val="00884D09"/>
    <w:rsid w:val="008852C0"/>
    <w:rsid w:val="00885FBF"/>
    <w:rsid w:val="00890180"/>
    <w:rsid w:val="008903CC"/>
    <w:rsid w:val="00892709"/>
    <w:rsid w:val="008928EA"/>
    <w:rsid w:val="00892976"/>
    <w:rsid w:val="00892BD9"/>
    <w:rsid w:val="00893296"/>
    <w:rsid w:val="00893472"/>
    <w:rsid w:val="00895BCE"/>
    <w:rsid w:val="00897F92"/>
    <w:rsid w:val="008A0555"/>
    <w:rsid w:val="008A081A"/>
    <w:rsid w:val="008A0B7F"/>
    <w:rsid w:val="008A0BDA"/>
    <w:rsid w:val="008A175C"/>
    <w:rsid w:val="008A2391"/>
    <w:rsid w:val="008A24CF"/>
    <w:rsid w:val="008A2B0C"/>
    <w:rsid w:val="008A3E1A"/>
    <w:rsid w:val="008A496E"/>
    <w:rsid w:val="008A5416"/>
    <w:rsid w:val="008A7E53"/>
    <w:rsid w:val="008B08BB"/>
    <w:rsid w:val="008B192A"/>
    <w:rsid w:val="008B1E4D"/>
    <w:rsid w:val="008B1EA2"/>
    <w:rsid w:val="008B4004"/>
    <w:rsid w:val="008B4CDF"/>
    <w:rsid w:val="008B6820"/>
    <w:rsid w:val="008B6E1B"/>
    <w:rsid w:val="008B724B"/>
    <w:rsid w:val="008B7C4B"/>
    <w:rsid w:val="008B7E5B"/>
    <w:rsid w:val="008C008C"/>
    <w:rsid w:val="008C057A"/>
    <w:rsid w:val="008C14CC"/>
    <w:rsid w:val="008C255F"/>
    <w:rsid w:val="008C2A07"/>
    <w:rsid w:val="008C2D00"/>
    <w:rsid w:val="008C3BF2"/>
    <w:rsid w:val="008C3C25"/>
    <w:rsid w:val="008C5D3E"/>
    <w:rsid w:val="008C5E15"/>
    <w:rsid w:val="008C63F2"/>
    <w:rsid w:val="008C6443"/>
    <w:rsid w:val="008C72A6"/>
    <w:rsid w:val="008C78CC"/>
    <w:rsid w:val="008C79CB"/>
    <w:rsid w:val="008C7CF1"/>
    <w:rsid w:val="008D0500"/>
    <w:rsid w:val="008D0544"/>
    <w:rsid w:val="008D23E5"/>
    <w:rsid w:val="008D24CE"/>
    <w:rsid w:val="008D25F3"/>
    <w:rsid w:val="008D2E33"/>
    <w:rsid w:val="008D3042"/>
    <w:rsid w:val="008D3462"/>
    <w:rsid w:val="008D3835"/>
    <w:rsid w:val="008D5041"/>
    <w:rsid w:val="008D5086"/>
    <w:rsid w:val="008D55CB"/>
    <w:rsid w:val="008D7DF3"/>
    <w:rsid w:val="008E0215"/>
    <w:rsid w:val="008E0B6F"/>
    <w:rsid w:val="008E15E8"/>
    <w:rsid w:val="008E1CA1"/>
    <w:rsid w:val="008E3B1E"/>
    <w:rsid w:val="008E4AE4"/>
    <w:rsid w:val="008E56C0"/>
    <w:rsid w:val="008E571B"/>
    <w:rsid w:val="008E7623"/>
    <w:rsid w:val="008E7AA4"/>
    <w:rsid w:val="008E7BDB"/>
    <w:rsid w:val="008F0552"/>
    <w:rsid w:val="008F140B"/>
    <w:rsid w:val="008F1614"/>
    <w:rsid w:val="008F199B"/>
    <w:rsid w:val="008F3A4A"/>
    <w:rsid w:val="008F4ACD"/>
    <w:rsid w:val="008F5309"/>
    <w:rsid w:val="008F5A25"/>
    <w:rsid w:val="008F69B2"/>
    <w:rsid w:val="008F6A4E"/>
    <w:rsid w:val="00900968"/>
    <w:rsid w:val="00901474"/>
    <w:rsid w:val="009027D5"/>
    <w:rsid w:val="009029CC"/>
    <w:rsid w:val="00902E6D"/>
    <w:rsid w:val="009041BA"/>
    <w:rsid w:val="009047C9"/>
    <w:rsid w:val="009058CE"/>
    <w:rsid w:val="00905DB9"/>
    <w:rsid w:val="0090750A"/>
    <w:rsid w:val="00910043"/>
    <w:rsid w:val="00910EA4"/>
    <w:rsid w:val="00910FF6"/>
    <w:rsid w:val="009120C8"/>
    <w:rsid w:val="00912A9F"/>
    <w:rsid w:val="00912E38"/>
    <w:rsid w:val="009136EB"/>
    <w:rsid w:val="00913B99"/>
    <w:rsid w:val="00913CF9"/>
    <w:rsid w:val="00915B8F"/>
    <w:rsid w:val="00917C14"/>
    <w:rsid w:val="00917DFE"/>
    <w:rsid w:val="00920206"/>
    <w:rsid w:val="009205EB"/>
    <w:rsid w:val="0092121B"/>
    <w:rsid w:val="009213F1"/>
    <w:rsid w:val="009218AF"/>
    <w:rsid w:val="009220BF"/>
    <w:rsid w:val="0092219E"/>
    <w:rsid w:val="00922A4E"/>
    <w:rsid w:val="00923933"/>
    <w:rsid w:val="00923ABA"/>
    <w:rsid w:val="00924A3A"/>
    <w:rsid w:val="00926522"/>
    <w:rsid w:val="00927405"/>
    <w:rsid w:val="00930026"/>
    <w:rsid w:val="009302AE"/>
    <w:rsid w:val="00932AA2"/>
    <w:rsid w:val="00932F93"/>
    <w:rsid w:val="00933333"/>
    <w:rsid w:val="00933910"/>
    <w:rsid w:val="00934168"/>
    <w:rsid w:val="0093472B"/>
    <w:rsid w:val="00934AE2"/>
    <w:rsid w:val="00935D2D"/>
    <w:rsid w:val="009367F3"/>
    <w:rsid w:val="00937239"/>
    <w:rsid w:val="00937E33"/>
    <w:rsid w:val="00940079"/>
    <w:rsid w:val="00940A15"/>
    <w:rsid w:val="00940BA3"/>
    <w:rsid w:val="009410AC"/>
    <w:rsid w:val="0094148D"/>
    <w:rsid w:val="0094183E"/>
    <w:rsid w:val="00941B9E"/>
    <w:rsid w:val="00942ED9"/>
    <w:rsid w:val="009435D8"/>
    <w:rsid w:val="0094403E"/>
    <w:rsid w:val="0094497D"/>
    <w:rsid w:val="00944E34"/>
    <w:rsid w:val="00944F31"/>
    <w:rsid w:val="009455F9"/>
    <w:rsid w:val="009462B8"/>
    <w:rsid w:val="00946443"/>
    <w:rsid w:val="009471DE"/>
    <w:rsid w:val="00947605"/>
    <w:rsid w:val="00947C7C"/>
    <w:rsid w:val="00947CEB"/>
    <w:rsid w:val="00950309"/>
    <w:rsid w:val="00953BD2"/>
    <w:rsid w:val="00953F5D"/>
    <w:rsid w:val="00954397"/>
    <w:rsid w:val="0095467B"/>
    <w:rsid w:val="009554B2"/>
    <w:rsid w:val="0095551A"/>
    <w:rsid w:val="00956E3B"/>
    <w:rsid w:val="00960F6F"/>
    <w:rsid w:val="00961034"/>
    <w:rsid w:val="00961236"/>
    <w:rsid w:val="00961738"/>
    <w:rsid w:val="00962E4B"/>
    <w:rsid w:val="009633F7"/>
    <w:rsid w:val="00963468"/>
    <w:rsid w:val="00964783"/>
    <w:rsid w:val="00965ADF"/>
    <w:rsid w:val="00970F99"/>
    <w:rsid w:val="00971360"/>
    <w:rsid w:val="0097154B"/>
    <w:rsid w:val="0097169F"/>
    <w:rsid w:val="00971915"/>
    <w:rsid w:val="00973541"/>
    <w:rsid w:val="009735F0"/>
    <w:rsid w:val="00974AEA"/>
    <w:rsid w:val="00974D36"/>
    <w:rsid w:val="00974EC0"/>
    <w:rsid w:val="009751C1"/>
    <w:rsid w:val="00976099"/>
    <w:rsid w:val="00977352"/>
    <w:rsid w:val="009774DA"/>
    <w:rsid w:val="00977D60"/>
    <w:rsid w:val="009803D7"/>
    <w:rsid w:val="00980EDE"/>
    <w:rsid w:val="0098197E"/>
    <w:rsid w:val="0098240E"/>
    <w:rsid w:val="00982C9F"/>
    <w:rsid w:val="00982F19"/>
    <w:rsid w:val="00983035"/>
    <w:rsid w:val="00983FF4"/>
    <w:rsid w:val="009845C2"/>
    <w:rsid w:val="00984744"/>
    <w:rsid w:val="00984D17"/>
    <w:rsid w:val="00984DAF"/>
    <w:rsid w:val="00985570"/>
    <w:rsid w:val="00985950"/>
    <w:rsid w:val="009859D5"/>
    <w:rsid w:val="00985CFC"/>
    <w:rsid w:val="0098612A"/>
    <w:rsid w:val="009867F9"/>
    <w:rsid w:val="00987B6F"/>
    <w:rsid w:val="00990249"/>
    <w:rsid w:val="00991706"/>
    <w:rsid w:val="009925A0"/>
    <w:rsid w:val="009932FE"/>
    <w:rsid w:val="009936CB"/>
    <w:rsid w:val="009937BE"/>
    <w:rsid w:val="00993981"/>
    <w:rsid w:val="009956EA"/>
    <w:rsid w:val="00996435"/>
    <w:rsid w:val="00996580"/>
    <w:rsid w:val="009968E5"/>
    <w:rsid w:val="00996C38"/>
    <w:rsid w:val="00997439"/>
    <w:rsid w:val="00997AEC"/>
    <w:rsid w:val="00997B24"/>
    <w:rsid w:val="009A010A"/>
    <w:rsid w:val="009A09AA"/>
    <w:rsid w:val="009A0A03"/>
    <w:rsid w:val="009A0AEF"/>
    <w:rsid w:val="009A1B46"/>
    <w:rsid w:val="009A2F8E"/>
    <w:rsid w:val="009A3C95"/>
    <w:rsid w:val="009A5BA3"/>
    <w:rsid w:val="009A692C"/>
    <w:rsid w:val="009A6A3E"/>
    <w:rsid w:val="009A6B44"/>
    <w:rsid w:val="009A6D62"/>
    <w:rsid w:val="009A7A84"/>
    <w:rsid w:val="009A7C52"/>
    <w:rsid w:val="009A7D49"/>
    <w:rsid w:val="009B2506"/>
    <w:rsid w:val="009B3632"/>
    <w:rsid w:val="009B43F1"/>
    <w:rsid w:val="009B5203"/>
    <w:rsid w:val="009B6C48"/>
    <w:rsid w:val="009B6F3E"/>
    <w:rsid w:val="009B74B4"/>
    <w:rsid w:val="009B7CE8"/>
    <w:rsid w:val="009B7CF3"/>
    <w:rsid w:val="009C0B0B"/>
    <w:rsid w:val="009C0C1B"/>
    <w:rsid w:val="009C17F6"/>
    <w:rsid w:val="009C1DA7"/>
    <w:rsid w:val="009C2062"/>
    <w:rsid w:val="009C24D9"/>
    <w:rsid w:val="009C2F31"/>
    <w:rsid w:val="009C35C5"/>
    <w:rsid w:val="009C36ED"/>
    <w:rsid w:val="009C4C9A"/>
    <w:rsid w:val="009C4D8E"/>
    <w:rsid w:val="009C6ADD"/>
    <w:rsid w:val="009C78C7"/>
    <w:rsid w:val="009D03F3"/>
    <w:rsid w:val="009D2B4F"/>
    <w:rsid w:val="009D2F5F"/>
    <w:rsid w:val="009D336B"/>
    <w:rsid w:val="009D43C1"/>
    <w:rsid w:val="009D50AF"/>
    <w:rsid w:val="009D54C7"/>
    <w:rsid w:val="009D5BCC"/>
    <w:rsid w:val="009D6959"/>
    <w:rsid w:val="009D69BE"/>
    <w:rsid w:val="009D69EB"/>
    <w:rsid w:val="009D6D81"/>
    <w:rsid w:val="009D72EC"/>
    <w:rsid w:val="009D7984"/>
    <w:rsid w:val="009D79F5"/>
    <w:rsid w:val="009E0940"/>
    <w:rsid w:val="009E0A4F"/>
    <w:rsid w:val="009E120F"/>
    <w:rsid w:val="009E13D6"/>
    <w:rsid w:val="009E3070"/>
    <w:rsid w:val="009E47F5"/>
    <w:rsid w:val="009E49B6"/>
    <w:rsid w:val="009E4EDC"/>
    <w:rsid w:val="009E59E4"/>
    <w:rsid w:val="009E779F"/>
    <w:rsid w:val="009E7A2B"/>
    <w:rsid w:val="009F082F"/>
    <w:rsid w:val="009F0EA0"/>
    <w:rsid w:val="009F20AF"/>
    <w:rsid w:val="009F26E1"/>
    <w:rsid w:val="009F2C0D"/>
    <w:rsid w:val="009F2E7E"/>
    <w:rsid w:val="009F3A44"/>
    <w:rsid w:val="009F3B2B"/>
    <w:rsid w:val="009F424F"/>
    <w:rsid w:val="009F4FCE"/>
    <w:rsid w:val="009F5449"/>
    <w:rsid w:val="009F5F05"/>
    <w:rsid w:val="009F60B6"/>
    <w:rsid w:val="009F665F"/>
    <w:rsid w:val="009F6682"/>
    <w:rsid w:val="009F711C"/>
    <w:rsid w:val="009F787E"/>
    <w:rsid w:val="009F7E4D"/>
    <w:rsid w:val="00A00372"/>
    <w:rsid w:val="00A0103A"/>
    <w:rsid w:val="00A017E8"/>
    <w:rsid w:val="00A01859"/>
    <w:rsid w:val="00A01C3D"/>
    <w:rsid w:val="00A02506"/>
    <w:rsid w:val="00A02ABD"/>
    <w:rsid w:val="00A02B31"/>
    <w:rsid w:val="00A02C73"/>
    <w:rsid w:val="00A02F52"/>
    <w:rsid w:val="00A03412"/>
    <w:rsid w:val="00A0357C"/>
    <w:rsid w:val="00A04415"/>
    <w:rsid w:val="00A04682"/>
    <w:rsid w:val="00A04819"/>
    <w:rsid w:val="00A049BC"/>
    <w:rsid w:val="00A04A22"/>
    <w:rsid w:val="00A0596A"/>
    <w:rsid w:val="00A05F0F"/>
    <w:rsid w:val="00A06968"/>
    <w:rsid w:val="00A07298"/>
    <w:rsid w:val="00A073AB"/>
    <w:rsid w:val="00A078AA"/>
    <w:rsid w:val="00A102EA"/>
    <w:rsid w:val="00A10E3F"/>
    <w:rsid w:val="00A10FB1"/>
    <w:rsid w:val="00A11246"/>
    <w:rsid w:val="00A113B8"/>
    <w:rsid w:val="00A12F22"/>
    <w:rsid w:val="00A13572"/>
    <w:rsid w:val="00A13A1D"/>
    <w:rsid w:val="00A154A8"/>
    <w:rsid w:val="00A15A86"/>
    <w:rsid w:val="00A15D7D"/>
    <w:rsid w:val="00A168FF"/>
    <w:rsid w:val="00A176F1"/>
    <w:rsid w:val="00A17DD5"/>
    <w:rsid w:val="00A202D3"/>
    <w:rsid w:val="00A211A1"/>
    <w:rsid w:val="00A2187A"/>
    <w:rsid w:val="00A23608"/>
    <w:rsid w:val="00A23EAA"/>
    <w:rsid w:val="00A25EC7"/>
    <w:rsid w:val="00A26794"/>
    <w:rsid w:val="00A26DDB"/>
    <w:rsid w:val="00A27A50"/>
    <w:rsid w:val="00A27F00"/>
    <w:rsid w:val="00A324C2"/>
    <w:rsid w:val="00A32FF1"/>
    <w:rsid w:val="00A331E1"/>
    <w:rsid w:val="00A33897"/>
    <w:rsid w:val="00A3466C"/>
    <w:rsid w:val="00A346DB"/>
    <w:rsid w:val="00A35192"/>
    <w:rsid w:val="00A351D5"/>
    <w:rsid w:val="00A35639"/>
    <w:rsid w:val="00A35921"/>
    <w:rsid w:val="00A35AA9"/>
    <w:rsid w:val="00A35B6A"/>
    <w:rsid w:val="00A3679B"/>
    <w:rsid w:val="00A36BF8"/>
    <w:rsid w:val="00A3799C"/>
    <w:rsid w:val="00A40122"/>
    <w:rsid w:val="00A40794"/>
    <w:rsid w:val="00A411CB"/>
    <w:rsid w:val="00A43000"/>
    <w:rsid w:val="00A4364D"/>
    <w:rsid w:val="00A43D91"/>
    <w:rsid w:val="00A43F0C"/>
    <w:rsid w:val="00A441C7"/>
    <w:rsid w:val="00A450F1"/>
    <w:rsid w:val="00A45323"/>
    <w:rsid w:val="00A45B16"/>
    <w:rsid w:val="00A45F55"/>
    <w:rsid w:val="00A46023"/>
    <w:rsid w:val="00A47D64"/>
    <w:rsid w:val="00A50D13"/>
    <w:rsid w:val="00A51D44"/>
    <w:rsid w:val="00A524CB"/>
    <w:rsid w:val="00A52BC0"/>
    <w:rsid w:val="00A54345"/>
    <w:rsid w:val="00A55294"/>
    <w:rsid w:val="00A556AE"/>
    <w:rsid w:val="00A56C5A"/>
    <w:rsid w:val="00A5743F"/>
    <w:rsid w:val="00A602C7"/>
    <w:rsid w:val="00A6252E"/>
    <w:rsid w:val="00A62680"/>
    <w:rsid w:val="00A633FF"/>
    <w:rsid w:val="00A63F50"/>
    <w:rsid w:val="00A643D5"/>
    <w:rsid w:val="00A64471"/>
    <w:rsid w:val="00A656B2"/>
    <w:rsid w:val="00A662BA"/>
    <w:rsid w:val="00A7031B"/>
    <w:rsid w:val="00A706C4"/>
    <w:rsid w:val="00A70850"/>
    <w:rsid w:val="00A70D99"/>
    <w:rsid w:val="00A7147C"/>
    <w:rsid w:val="00A72BB4"/>
    <w:rsid w:val="00A72F14"/>
    <w:rsid w:val="00A73CAB"/>
    <w:rsid w:val="00A76455"/>
    <w:rsid w:val="00A77692"/>
    <w:rsid w:val="00A7789D"/>
    <w:rsid w:val="00A803CB"/>
    <w:rsid w:val="00A807A3"/>
    <w:rsid w:val="00A81553"/>
    <w:rsid w:val="00A817EB"/>
    <w:rsid w:val="00A828AA"/>
    <w:rsid w:val="00A833CE"/>
    <w:rsid w:val="00A8608E"/>
    <w:rsid w:val="00A86E62"/>
    <w:rsid w:val="00A871C6"/>
    <w:rsid w:val="00A878E2"/>
    <w:rsid w:val="00A9079E"/>
    <w:rsid w:val="00A90AA7"/>
    <w:rsid w:val="00A91031"/>
    <w:rsid w:val="00A91F2E"/>
    <w:rsid w:val="00A927B8"/>
    <w:rsid w:val="00A92C47"/>
    <w:rsid w:val="00A94D49"/>
    <w:rsid w:val="00A96295"/>
    <w:rsid w:val="00A96D3B"/>
    <w:rsid w:val="00A97345"/>
    <w:rsid w:val="00A976AC"/>
    <w:rsid w:val="00A976E5"/>
    <w:rsid w:val="00A97D4D"/>
    <w:rsid w:val="00AA1AB3"/>
    <w:rsid w:val="00AA356A"/>
    <w:rsid w:val="00AA3843"/>
    <w:rsid w:val="00AA4E59"/>
    <w:rsid w:val="00AA52AB"/>
    <w:rsid w:val="00AA7053"/>
    <w:rsid w:val="00AA7423"/>
    <w:rsid w:val="00AA79A1"/>
    <w:rsid w:val="00AA7F94"/>
    <w:rsid w:val="00AB092C"/>
    <w:rsid w:val="00AB1094"/>
    <w:rsid w:val="00AB1AB1"/>
    <w:rsid w:val="00AB1D6C"/>
    <w:rsid w:val="00AB2CD6"/>
    <w:rsid w:val="00AB3852"/>
    <w:rsid w:val="00AB4C9D"/>
    <w:rsid w:val="00AB5C43"/>
    <w:rsid w:val="00AB5F68"/>
    <w:rsid w:val="00AB6B64"/>
    <w:rsid w:val="00AC0C05"/>
    <w:rsid w:val="00AC0E01"/>
    <w:rsid w:val="00AC160F"/>
    <w:rsid w:val="00AC19D3"/>
    <w:rsid w:val="00AC1EC1"/>
    <w:rsid w:val="00AC2535"/>
    <w:rsid w:val="00AC380E"/>
    <w:rsid w:val="00AC381A"/>
    <w:rsid w:val="00AC4448"/>
    <w:rsid w:val="00AC53E7"/>
    <w:rsid w:val="00AC5617"/>
    <w:rsid w:val="00AC5BA3"/>
    <w:rsid w:val="00AC6FEC"/>
    <w:rsid w:val="00AD00EE"/>
    <w:rsid w:val="00AD0D3C"/>
    <w:rsid w:val="00AD14CA"/>
    <w:rsid w:val="00AD150B"/>
    <w:rsid w:val="00AD1F13"/>
    <w:rsid w:val="00AD2606"/>
    <w:rsid w:val="00AD3A79"/>
    <w:rsid w:val="00AD40CA"/>
    <w:rsid w:val="00AD419D"/>
    <w:rsid w:val="00AD4DE0"/>
    <w:rsid w:val="00AD5337"/>
    <w:rsid w:val="00AD57C2"/>
    <w:rsid w:val="00AD68BB"/>
    <w:rsid w:val="00AD69CA"/>
    <w:rsid w:val="00AD7476"/>
    <w:rsid w:val="00AE0616"/>
    <w:rsid w:val="00AE089F"/>
    <w:rsid w:val="00AE0E75"/>
    <w:rsid w:val="00AE1122"/>
    <w:rsid w:val="00AE38A1"/>
    <w:rsid w:val="00AE3EC9"/>
    <w:rsid w:val="00AE4FE5"/>
    <w:rsid w:val="00AE511B"/>
    <w:rsid w:val="00AE57A4"/>
    <w:rsid w:val="00AE7D1D"/>
    <w:rsid w:val="00AF0DD6"/>
    <w:rsid w:val="00AF1769"/>
    <w:rsid w:val="00AF17E7"/>
    <w:rsid w:val="00AF17FC"/>
    <w:rsid w:val="00AF34E6"/>
    <w:rsid w:val="00AF35A2"/>
    <w:rsid w:val="00AF3AEB"/>
    <w:rsid w:val="00AF3CDC"/>
    <w:rsid w:val="00AF3F26"/>
    <w:rsid w:val="00AF44F6"/>
    <w:rsid w:val="00AF588F"/>
    <w:rsid w:val="00AF5D44"/>
    <w:rsid w:val="00AF658D"/>
    <w:rsid w:val="00AF7175"/>
    <w:rsid w:val="00AF7827"/>
    <w:rsid w:val="00B00C34"/>
    <w:rsid w:val="00B01552"/>
    <w:rsid w:val="00B038D2"/>
    <w:rsid w:val="00B052C5"/>
    <w:rsid w:val="00B05F69"/>
    <w:rsid w:val="00B06576"/>
    <w:rsid w:val="00B068FA"/>
    <w:rsid w:val="00B06DE2"/>
    <w:rsid w:val="00B07432"/>
    <w:rsid w:val="00B07A83"/>
    <w:rsid w:val="00B10C36"/>
    <w:rsid w:val="00B110CF"/>
    <w:rsid w:val="00B11475"/>
    <w:rsid w:val="00B1187A"/>
    <w:rsid w:val="00B11B76"/>
    <w:rsid w:val="00B1447E"/>
    <w:rsid w:val="00B145F5"/>
    <w:rsid w:val="00B161F4"/>
    <w:rsid w:val="00B168A8"/>
    <w:rsid w:val="00B16D03"/>
    <w:rsid w:val="00B17D32"/>
    <w:rsid w:val="00B208AA"/>
    <w:rsid w:val="00B2125E"/>
    <w:rsid w:val="00B21A19"/>
    <w:rsid w:val="00B21EDC"/>
    <w:rsid w:val="00B220C1"/>
    <w:rsid w:val="00B2243E"/>
    <w:rsid w:val="00B224EE"/>
    <w:rsid w:val="00B23973"/>
    <w:rsid w:val="00B24032"/>
    <w:rsid w:val="00B24B6C"/>
    <w:rsid w:val="00B24D62"/>
    <w:rsid w:val="00B2538D"/>
    <w:rsid w:val="00B254CD"/>
    <w:rsid w:val="00B26007"/>
    <w:rsid w:val="00B27661"/>
    <w:rsid w:val="00B277BA"/>
    <w:rsid w:val="00B3001D"/>
    <w:rsid w:val="00B30573"/>
    <w:rsid w:val="00B308E3"/>
    <w:rsid w:val="00B31899"/>
    <w:rsid w:val="00B31EED"/>
    <w:rsid w:val="00B321E6"/>
    <w:rsid w:val="00B330D3"/>
    <w:rsid w:val="00B33407"/>
    <w:rsid w:val="00B336A5"/>
    <w:rsid w:val="00B33B9C"/>
    <w:rsid w:val="00B34153"/>
    <w:rsid w:val="00B3420E"/>
    <w:rsid w:val="00B34426"/>
    <w:rsid w:val="00B34977"/>
    <w:rsid w:val="00B360E7"/>
    <w:rsid w:val="00B3639C"/>
    <w:rsid w:val="00B363C3"/>
    <w:rsid w:val="00B36C31"/>
    <w:rsid w:val="00B370A0"/>
    <w:rsid w:val="00B401A0"/>
    <w:rsid w:val="00B40EA7"/>
    <w:rsid w:val="00B41B1A"/>
    <w:rsid w:val="00B4211F"/>
    <w:rsid w:val="00B43216"/>
    <w:rsid w:val="00B43221"/>
    <w:rsid w:val="00B43A96"/>
    <w:rsid w:val="00B44020"/>
    <w:rsid w:val="00B44420"/>
    <w:rsid w:val="00B45950"/>
    <w:rsid w:val="00B45A85"/>
    <w:rsid w:val="00B46DE1"/>
    <w:rsid w:val="00B4744A"/>
    <w:rsid w:val="00B4757A"/>
    <w:rsid w:val="00B47602"/>
    <w:rsid w:val="00B47B1A"/>
    <w:rsid w:val="00B47FF0"/>
    <w:rsid w:val="00B50A6E"/>
    <w:rsid w:val="00B518C2"/>
    <w:rsid w:val="00B51F62"/>
    <w:rsid w:val="00B53549"/>
    <w:rsid w:val="00B553BC"/>
    <w:rsid w:val="00B554B0"/>
    <w:rsid w:val="00B55538"/>
    <w:rsid w:val="00B5642D"/>
    <w:rsid w:val="00B5645F"/>
    <w:rsid w:val="00B574BE"/>
    <w:rsid w:val="00B57F18"/>
    <w:rsid w:val="00B60518"/>
    <w:rsid w:val="00B6093C"/>
    <w:rsid w:val="00B61C20"/>
    <w:rsid w:val="00B61F81"/>
    <w:rsid w:val="00B6201D"/>
    <w:rsid w:val="00B62410"/>
    <w:rsid w:val="00B638DE"/>
    <w:rsid w:val="00B63C2D"/>
    <w:rsid w:val="00B654F9"/>
    <w:rsid w:val="00B6586F"/>
    <w:rsid w:val="00B65E9F"/>
    <w:rsid w:val="00B660A0"/>
    <w:rsid w:val="00B664C5"/>
    <w:rsid w:val="00B666D9"/>
    <w:rsid w:val="00B66E5E"/>
    <w:rsid w:val="00B673F3"/>
    <w:rsid w:val="00B67ADB"/>
    <w:rsid w:val="00B67BA7"/>
    <w:rsid w:val="00B70BAB"/>
    <w:rsid w:val="00B70C29"/>
    <w:rsid w:val="00B718D6"/>
    <w:rsid w:val="00B71C81"/>
    <w:rsid w:val="00B72270"/>
    <w:rsid w:val="00B73D98"/>
    <w:rsid w:val="00B73EA5"/>
    <w:rsid w:val="00B754A5"/>
    <w:rsid w:val="00B754C3"/>
    <w:rsid w:val="00B75A0B"/>
    <w:rsid w:val="00B766F9"/>
    <w:rsid w:val="00B77080"/>
    <w:rsid w:val="00B77369"/>
    <w:rsid w:val="00B7774C"/>
    <w:rsid w:val="00B77EF7"/>
    <w:rsid w:val="00B77FB7"/>
    <w:rsid w:val="00B80543"/>
    <w:rsid w:val="00B8054D"/>
    <w:rsid w:val="00B8138C"/>
    <w:rsid w:val="00B81715"/>
    <w:rsid w:val="00B826B5"/>
    <w:rsid w:val="00B83C79"/>
    <w:rsid w:val="00B83F49"/>
    <w:rsid w:val="00B840ED"/>
    <w:rsid w:val="00B84F30"/>
    <w:rsid w:val="00B85160"/>
    <w:rsid w:val="00B85596"/>
    <w:rsid w:val="00B85961"/>
    <w:rsid w:val="00B85B4D"/>
    <w:rsid w:val="00B862B4"/>
    <w:rsid w:val="00B87567"/>
    <w:rsid w:val="00B87654"/>
    <w:rsid w:val="00B87769"/>
    <w:rsid w:val="00B9028F"/>
    <w:rsid w:val="00B90410"/>
    <w:rsid w:val="00B91731"/>
    <w:rsid w:val="00B91922"/>
    <w:rsid w:val="00B92AFB"/>
    <w:rsid w:val="00B935E2"/>
    <w:rsid w:val="00B93C26"/>
    <w:rsid w:val="00B94F29"/>
    <w:rsid w:val="00B953FE"/>
    <w:rsid w:val="00B97673"/>
    <w:rsid w:val="00B97CD2"/>
    <w:rsid w:val="00BA0E53"/>
    <w:rsid w:val="00BA199D"/>
    <w:rsid w:val="00BA29BA"/>
    <w:rsid w:val="00BA35A0"/>
    <w:rsid w:val="00BA35C7"/>
    <w:rsid w:val="00BA3649"/>
    <w:rsid w:val="00BA444D"/>
    <w:rsid w:val="00BA49B8"/>
    <w:rsid w:val="00BA4DB4"/>
    <w:rsid w:val="00BA7339"/>
    <w:rsid w:val="00BA79B3"/>
    <w:rsid w:val="00BA7A46"/>
    <w:rsid w:val="00BB0F08"/>
    <w:rsid w:val="00BB12D1"/>
    <w:rsid w:val="00BB1308"/>
    <w:rsid w:val="00BB2643"/>
    <w:rsid w:val="00BB615C"/>
    <w:rsid w:val="00BB62DC"/>
    <w:rsid w:val="00BB69EF"/>
    <w:rsid w:val="00BB7AD5"/>
    <w:rsid w:val="00BC1A4A"/>
    <w:rsid w:val="00BC1F65"/>
    <w:rsid w:val="00BC24B1"/>
    <w:rsid w:val="00BC3513"/>
    <w:rsid w:val="00BC4357"/>
    <w:rsid w:val="00BC4699"/>
    <w:rsid w:val="00BC46A8"/>
    <w:rsid w:val="00BC49E4"/>
    <w:rsid w:val="00BD00B1"/>
    <w:rsid w:val="00BD09BA"/>
    <w:rsid w:val="00BD1075"/>
    <w:rsid w:val="00BD13FE"/>
    <w:rsid w:val="00BD1D10"/>
    <w:rsid w:val="00BD2734"/>
    <w:rsid w:val="00BD29AF"/>
    <w:rsid w:val="00BD2D88"/>
    <w:rsid w:val="00BD3136"/>
    <w:rsid w:val="00BD3204"/>
    <w:rsid w:val="00BD33B3"/>
    <w:rsid w:val="00BD33E0"/>
    <w:rsid w:val="00BD361F"/>
    <w:rsid w:val="00BD3D44"/>
    <w:rsid w:val="00BD47F3"/>
    <w:rsid w:val="00BD4B8D"/>
    <w:rsid w:val="00BD5106"/>
    <w:rsid w:val="00BD51A7"/>
    <w:rsid w:val="00BD5E21"/>
    <w:rsid w:val="00BD68D8"/>
    <w:rsid w:val="00BD6A99"/>
    <w:rsid w:val="00BD6CAF"/>
    <w:rsid w:val="00BD6F48"/>
    <w:rsid w:val="00BD7093"/>
    <w:rsid w:val="00BD7857"/>
    <w:rsid w:val="00BE0436"/>
    <w:rsid w:val="00BE221E"/>
    <w:rsid w:val="00BE25BF"/>
    <w:rsid w:val="00BE29A5"/>
    <w:rsid w:val="00BE4154"/>
    <w:rsid w:val="00BE7016"/>
    <w:rsid w:val="00BF044E"/>
    <w:rsid w:val="00BF0773"/>
    <w:rsid w:val="00BF0F6B"/>
    <w:rsid w:val="00BF154F"/>
    <w:rsid w:val="00BF1C6D"/>
    <w:rsid w:val="00BF21BD"/>
    <w:rsid w:val="00BF2762"/>
    <w:rsid w:val="00BF285F"/>
    <w:rsid w:val="00BF2DC6"/>
    <w:rsid w:val="00BF3684"/>
    <w:rsid w:val="00BF4086"/>
    <w:rsid w:val="00BF4B7A"/>
    <w:rsid w:val="00BF5BD4"/>
    <w:rsid w:val="00BF5F58"/>
    <w:rsid w:val="00BF67A5"/>
    <w:rsid w:val="00BF6D47"/>
    <w:rsid w:val="00BF6EC8"/>
    <w:rsid w:val="00BF70A8"/>
    <w:rsid w:val="00BF7B8A"/>
    <w:rsid w:val="00BF7BB8"/>
    <w:rsid w:val="00C02A64"/>
    <w:rsid w:val="00C0371D"/>
    <w:rsid w:val="00C03E1A"/>
    <w:rsid w:val="00C03FF0"/>
    <w:rsid w:val="00C0459E"/>
    <w:rsid w:val="00C04886"/>
    <w:rsid w:val="00C04AAD"/>
    <w:rsid w:val="00C0630D"/>
    <w:rsid w:val="00C0667B"/>
    <w:rsid w:val="00C06746"/>
    <w:rsid w:val="00C07222"/>
    <w:rsid w:val="00C076CB"/>
    <w:rsid w:val="00C07800"/>
    <w:rsid w:val="00C10624"/>
    <w:rsid w:val="00C10FCC"/>
    <w:rsid w:val="00C11B68"/>
    <w:rsid w:val="00C122E6"/>
    <w:rsid w:val="00C13E9C"/>
    <w:rsid w:val="00C15CB1"/>
    <w:rsid w:val="00C15E22"/>
    <w:rsid w:val="00C167C0"/>
    <w:rsid w:val="00C169F1"/>
    <w:rsid w:val="00C16CE8"/>
    <w:rsid w:val="00C204C2"/>
    <w:rsid w:val="00C216A0"/>
    <w:rsid w:val="00C218DA"/>
    <w:rsid w:val="00C21B37"/>
    <w:rsid w:val="00C21C43"/>
    <w:rsid w:val="00C21FA2"/>
    <w:rsid w:val="00C22D3C"/>
    <w:rsid w:val="00C23B6B"/>
    <w:rsid w:val="00C24C41"/>
    <w:rsid w:val="00C25436"/>
    <w:rsid w:val="00C263E9"/>
    <w:rsid w:val="00C266E9"/>
    <w:rsid w:val="00C27736"/>
    <w:rsid w:val="00C27AF3"/>
    <w:rsid w:val="00C306E5"/>
    <w:rsid w:val="00C30899"/>
    <w:rsid w:val="00C30EF5"/>
    <w:rsid w:val="00C3171B"/>
    <w:rsid w:val="00C31F35"/>
    <w:rsid w:val="00C32F8C"/>
    <w:rsid w:val="00C33C03"/>
    <w:rsid w:val="00C3522E"/>
    <w:rsid w:val="00C36083"/>
    <w:rsid w:val="00C361AD"/>
    <w:rsid w:val="00C378C0"/>
    <w:rsid w:val="00C37911"/>
    <w:rsid w:val="00C410E3"/>
    <w:rsid w:val="00C426BE"/>
    <w:rsid w:val="00C43A92"/>
    <w:rsid w:val="00C44931"/>
    <w:rsid w:val="00C44ADC"/>
    <w:rsid w:val="00C5066F"/>
    <w:rsid w:val="00C50AAB"/>
    <w:rsid w:val="00C50BD4"/>
    <w:rsid w:val="00C50D3A"/>
    <w:rsid w:val="00C51D41"/>
    <w:rsid w:val="00C52284"/>
    <w:rsid w:val="00C52A41"/>
    <w:rsid w:val="00C538F3"/>
    <w:rsid w:val="00C53BB4"/>
    <w:rsid w:val="00C53D40"/>
    <w:rsid w:val="00C54811"/>
    <w:rsid w:val="00C55BE0"/>
    <w:rsid w:val="00C55F2F"/>
    <w:rsid w:val="00C55F69"/>
    <w:rsid w:val="00C56214"/>
    <w:rsid w:val="00C56C28"/>
    <w:rsid w:val="00C57B8D"/>
    <w:rsid w:val="00C6026F"/>
    <w:rsid w:val="00C6050E"/>
    <w:rsid w:val="00C60EA3"/>
    <w:rsid w:val="00C618EF"/>
    <w:rsid w:val="00C62171"/>
    <w:rsid w:val="00C62427"/>
    <w:rsid w:val="00C63213"/>
    <w:rsid w:val="00C6397C"/>
    <w:rsid w:val="00C658F5"/>
    <w:rsid w:val="00C67300"/>
    <w:rsid w:val="00C6779D"/>
    <w:rsid w:val="00C7144F"/>
    <w:rsid w:val="00C7191D"/>
    <w:rsid w:val="00C72EAB"/>
    <w:rsid w:val="00C74305"/>
    <w:rsid w:val="00C74636"/>
    <w:rsid w:val="00C749C4"/>
    <w:rsid w:val="00C7534C"/>
    <w:rsid w:val="00C7543D"/>
    <w:rsid w:val="00C765C5"/>
    <w:rsid w:val="00C768FC"/>
    <w:rsid w:val="00C76B51"/>
    <w:rsid w:val="00C76C12"/>
    <w:rsid w:val="00C76DAF"/>
    <w:rsid w:val="00C7767C"/>
    <w:rsid w:val="00C800E6"/>
    <w:rsid w:val="00C80AB3"/>
    <w:rsid w:val="00C813DC"/>
    <w:rsid w:val="00C8149B"/>
    <w:rsid w:val="00C829A2"/>
    <w:rsid w:val="00C82D92"/>
    <w:rsid w:val="00C8340B"/>
    <w:rsid w:val="00C83829"/>
    <w:rsid w:val="00C83885"/>
    <w:rsid w:val="00C846D3"/>
    <w:rsid w:val="00C848B6"/>
    <w:rsid w:val="00C8527D"/>
    <w:rsid w:val="00C857E4"/>
    <w:rsid w:val="00C865A1"/>
    <w:rsid w:val="00C867CD"/>
    <w:rsid w:val="00C86BC3"/>
    <w:rsid w:val="00C87283"/>
    <w:rsid w:val="00C90358"/>
    <w:rsid w:val="00C904C9"/>
    <w:rsid w:val="00C91661"/>
    <w:rsid w:val="00C91E42"/>
    <w:rsid w:val="00C92B62"/>
    <w:rsid w:val="00C940F2"/>
    <w:rsid w:val="00C94C3A"/>
    <w:rsid w:val="00C94DCD"/>
    <w:rsid w:val="00C96171"/>
    <w:rsid w:val="00C962E8"/>
    <w:rsid w:val="00C9630C"/>
    <w:rsid w:val="00C96CE8"/>
    <w:rsid w:val="00C97CEB"/>
    <w:rsid w:val="00CA01C4"/>
    <w:rsid w:val="00CA12A5"/>
    <w:rsid w:val="00CA1CE3"/>
    <w:rsid w:val="00CA23F9"/>
    <w:rsid w:val="00CA2478"/>
    <w:rsid w:val="00CA24C6"/>
    <w:rsid w:val="00CA30C9"/>
    <w:rsid w:val="00CA313C"/>
    <w:rsid w:val="00CA3887"/>
    <w:rsid w:val="00CA4AB2"/>
    <w:rsid w:val="00CA6239"/>
    <w:rsid w:val="00CA632F"/>
    <w:rsid w:val="00CA689A"/>
    <w:rsid w:val="00CA76AF"/>
    <w:rsid w:val="00CB00D4"/>
    <w:rsid w:val="00CB0E7B"/>
    <w:rsid w:val="00CB1195"/>
    <w:rsid w:val="00CB14FE"/>
    <w:rsid w:val="00CB17AD"/>
    <w:rsid w:val="00CB183A"/>
    <w:rsid w:val="00CB18F7"/>
    <w:rsid w:val="00CB1EC7"/>
    <w:rsid w:val="00CB241A"/>
    <w:rsid w:val="00CB24BD"/>
    <w:rsid w:val="00CB270C"/>
    <w:rsid w:val="00CB27CC"/>
    <w:rsid w:val="00CB2B94"/>
    <w:rsid w:val="00CB4371"/>
    <w:rsid w:val="00CB45BD"/>
    <w:rsid w:val="00CB4681"/>
    <w:rsid w:val="00CB477F"/>
    <w:rsid w:val="00CB754C"/>
    <w:rsid w:val="00CC01E1"/>
    <w:rsid w:val="00CC02D9"/>
    <w:rsid w:val="00CC1262"/>
    <w:rsid w:val="00CC2374"/>
    <w:rsid w:val="00CC2B14"/>
    <w:rsid w:val="00CC2E08"/>
    <w:rsid w:val="00CC33F1"/>
    <w:rsid w:val="00CC4F43"/>
    <w:rsid w:val="00CC65FB"/>
    <w:rsid w:val="00CC69A7"/>
    <w:rsid w:val="00CC6A78"/>
    <w:rsid w:val="00CC6F00"/>
    <w:rsid w:val="00CC6F0D"/>
    <w:rsid w:val="00CC7234"/>
    <w:rsid w:val="00CC78A0"/>
    <w:rsid w:val="00CD06A1"/>
    <w:rsid w:val="00CD0E69"/>
    <w:rsid w:val="00CD1681"/>
    <w:rsid w:val="00CD1FB1"/>
    <w:rsid w:val="00CD436C"/>
    <w:rsid w:val="00CD4600"/>
    <w:rsid w:val="00CD497D"/>
    <w:rsid w:val="00CD54ED"/>
    <w:rsid w:val="00CD597C"/>
    <w:rsid w:val="00CD615A"/>
    <w:rsid w:val="00CD6A04"/>
    <w:rsid w:val="00CD6D1B"/>
    <w:rsid w:val="00CD7EDB"/>
    <w:rsid w:val="00CE01CD"/>
    <w:rsid w:val="00CE0679"/>
    <w:rsid w:val="00CE07CD"/>
    <w:rsid w:val="00CE0898"/>
    <w:rsid w:val="00CE0CA9"/>
    <w:rsid w:val="00CE1F75"/>
    <w:rsid w:val="00CE221A"/>
    <w:rsid w:val="00CE278D"/>
    <w:rsid w:val="00CE2BB1"/>
    <w:rsid w:val="00CE2EEF"/>
    <w:rsid w:val="00CE464D"/>
    <w:rsid w:val="00CE7618"/>
    <w:rsid w:val="00CF0504"/>
    <w:rsid w:val="00CF063E"/>
    <w:rsid w:val="00CF1139"/>
    <w:rsid w:val="00CF1D29"/>
    <w:rsid w:val="00CF21C5"/>
    <w:rsid w:val="00CF21FC"/>
    <w:rsid w:val="00CF3414"/>
    <w:rsid w:val="00CF3BA5"/>
    <w:rsid w:val="00CF3E00"/>
    <w:rsid w:val="00CF3E4F"/>
    <w:rsid w:val="00CF4404"/>
    <w:rsid w:val="00CF4595"/>
    <w:rsid w:val="00CF4908"/>
    <w:rsid w:val="00CF4E28"/>
    <w:rsid w:val="00CF4EB6"/>
    <w:rsid w:val="00CF5168"/>
    <w:rsid w:val="00CF56B7"/>
    <w:rsid w:val="00CF6973"/>
    <w:rsid w:val="00CF724A"/>
    <w:rsid w:val="00CF7C34"/>
    <w:rsid w:val="00CF7FBD"/>
    <w:rsid w:val="00D0026F"/>
    <w:rsid w:val="00D002DE"/>
    <w:rsid w:val="00D018F7"/>
    <w:rsid w:val="00D0386B"/>
    <w:rsid w:val="00D03B84"/>
    <w:rsid w:val="00D03BD6"/>
    <w:rsid w:val="00D04349"/>
    <w:rsid w:val="00D0484C"/>
    <w:rsid w:val="00D05146"/>
    <w:rsid w:val="00D05A7E"/>
    <w:rsid w:val="00D0629D"/>
    <w:rsid w:val="00D0681D"/>
    <w:rsid w:val="00D06E8F"/>
    <w:rsid w:val="00D07B86"/>
    <w:rsid w:val="00D1062A"/>
    <w:rsid w:val="00D10BF1"/>
    <w:rsid w:val="00D12C6B"/>
    <w:rsid w:val="00D12F60"/>
    <w:rsid w:val="00D13237"/>
    <w:rsid w:val="00D1363F"/>
    <w:rsid w:val="00D16152"/>
    <w:rsid w:val="00D1634A"/>
    <w:rsid w:val="00D1716F"/>
    <w:rsid w:val="00D172AA"/>
    <w:rsid w:val="00D172B5"/>
    <w:rsid w:val="00D21F88"/>
    <w:rsid w:val="00D21FA0"/>
    <w:rsid w:val="00D225B8"/>
    <w:rsid w:val="00D25F70"/>
    <w:rsid w:val="00D26854"/>
    <w:rsid w:val="00D26BDF"/>
    <w:rsid w:val="00D26D86"/>
    <w:rsid w:val="00D27084"/>
    <w:rsid w:val="00D27899"/>
    <w:rsid w:val="00D279C5"/>
    <w:rsid w:val="00D314C8"/>
    <w:rsid w:val="00D321DB"/>
    <w:rsid w:val="00D32762"/>
    <w:rsid w:val="00D33591"/>
    <w:rsid w:val="00D33B84"/>
    <w:rsid w:val="00D33F1F"/>
    <w:rsid w:val="00D34344"/>
    <w:rsid w:val="00D34F0E"/>
    <w:rsid w:val="00D34F80"/>
    <w:rsid w:val="00D35510"/>
    <w:rsid w:val="00D35665"/>
    <w:rsid w:val="00D36465"/>
    <w:rsid w:val="00D3733F"/>
    <w:rsid w:val="00D3742F"/>
    <w:rsid w:val="00D40ECD"/>
    <w:rsid w:val="00D40FF1"/>
    <w:rsid w:val="00D41735"/>
    <w:rsid w:val="00D41B79"/>
    <w:rsid w:val="00D42584"/>
    <w:rsid w:val="00D431C2"/>
    <w:rsid w:val="00D431EB"/>
    <w:rsid w:val="00D438A8"/>
    <w:rsid w:val="00D4450C"/>
    <w:rsid w:val="00D4489D"/>
    <w:rsid w:val="00D44BF5"/>
    <w:rsid w:val="00D45E77"/>
    <w:rsid w:val="00D46D0B"/>
    <w:rsid w:val="00D47474"/>
    <w:rsid w:val="00D479A9"/>
    <w:rsid w:val="00D47BDD"/>
    <w:rsid w:val="00D50791"/>
    <w:rsid w:val="00D5159C"/>
    <w:rsid w:val="00D51D28"/>
    <w:rsid w:val="00D51E0D"/>
    <w:rsid w:val="00D51FF2"/>
    <w:rsid w:val="00D52396"/>
    <w:rsid w:val="00D524A8"/>
    <w:rsid w:val="00D52A37"/>
    <w:rsid w:val="00D535C6"/>
    <w:rsid w:val="00D53913"/>
    <w:rsid w:val="00D53F09"/>
    <w:rsid w:val="00D54751"/>
    <w:rsid w:val="00D549EE"/>
    <w:rsid w:val="00D55133"/>
    <w:rsid w:val="00D55423"/>
    <w:rsid w:val="00D57BD2"/>
    <w:rsid w:val="00D57E36"/>
    <w:rsid w:val="00D6047B"/>
    <w:rsid w:val="00D604E6"/>
    <w:rsid w:val="00D607FE"/>
    <w:rsid w:val="00D616E0"/>
    <w:rsid w:val="00D61E7C"/>
    <w:rsid w:val="00D61E86"/>
    <w:rsid w:val="00D62B44"/>
    <w:rsid w:val="00D639DA"/>
    <w:rsid w:val="00D63BDC"/>
    <w:rsid w:val="00D63C4D"/>
    <w:rsid w:val="00D63DE2"/>
    <w:rsid w:val="00D64909"/>
    <w:rsid w:val="00D66004"/>
    <w:rsid w:val="00D666D7"/>
    <w:rsid w:val="00D7028F"/>
    <w:rsid w:val="00D709BF"/>
    <w:rsid w:val="00D71721"/>
    <w:rsid w:val="00D759CC"/>
    <w:rsid w:val="00D75AFF"/>
    <w:rsid w:val="00D768AB"/>
    <w:rsid w:val="00D76980"/>
    <w:rsid w:val="00D76C2C"/>
    <w:rsid w:val="00D7708A"/>
    <w:rsid w:val="00D7720E"/>
    <w:rsid w:val="00D775CE"/>
    <w:rsid w:val="00D7792A"/>
    <w:rsid w:val="00D77AEE"/>
    <w:rsid w:val="00D80420"/>
    <w:rsid w:val="00D804E2"/>
    <w:rsid w:val="00D8100F"/>
    <w:rsid w:val="00D814EE"/>
    <w:rsid w:val="00D81C88"/>
    <w:rsid w:val="00D820DA"/>
    <w:rsid w:val="00D826C1"/>
    <w:rsid w:val="00D82BE5"/>
    <w:rsid w:val="00D83C58"/>
    <w:rsid w:val="00D83E13"/>
    <w:rsid w:val="00D8421E"/>
    <w:rsid w:val="00D844E7"/>
    <w:rsid w:val="00D84AAB"/>
    <w:rsid w:val="00D85267"/>
    <w:rsid w:val="00D85708"/>
    <w:rsid w:val="00D85A30"/>
    <w:rsid w:val="00D85BBF"/>
    <w:rsid w:val="00D85F36"/>
    <w:rsid w:val="00D86074"/>
    <w:rsid w:val="00D87980"/>
    <w:rsid w:val="00D87D9A"/>
    <w:rsid w:val="00D87FF3"/>
    <w:rsid w:val="00D90B37"/>
    <w:rsid w:val="00D914F5"/>
    <w:rsid w:val="00D924C2"/>
    <w:rsid w:val="00D92507"/>
    <w:rsid w:val="00D92B91"/>
    <w:rsid w:val="00D9346B"/>
    <w:rsid w:val="00D936B6"/>
    <w:rsid w:val="00D93F17"/>
    <w:rsid w:val="00D941A2"/>
    <w:rsid w:val="00D9480B"/>
    <w:rsid w:val="00D958E3"/>
    <w:rsid w:val="00D96009"/>
    <w:rsid w:val="00D97119"/>
    <w:rsid w:val="00D9742A"/>
    <w:rsid w:val="00D9760A"/>
    <w:rsid w:val="00DA0194"/>
    <w:rsid w:val="00DA0811"/>
    <w:rsid w:val="00DA0FCF"/>
    <w:rsid w:val="00DA125C"/>
    <w:rsid w:val="00DA1583"/>
    <w:rsid w:val="00DA22B4"/>
    <w:rsid w:val="00DA25D0"/>
    <w:rsid w:val="00DA28A1"/>
    <w:rsid w:val="00DA3D59"/>
    <w:rsid w:val="00DA49F1"/>
    <w:rsid w:val="00DA5AB0"/>
    <w:rsid w:val="00DA614B"/>
    <w:rsid w:val="00DA6A9B"/>
    <w:rsid w:val="00DA7645"/>
    <w:rsid w:val="00DA7ABB"/>
    <w:rsid w:val="00DA7BCD"/>
    <w:rsid w:val="00DB0E86"/>
    <w:rsid w:val="00DB117D"/>
    <w:rsid w:val="00DB330B"/>
    <w:rsid w:val="00DB3EE0"/>
    <w:rsid w:val="00DB476B"/>
    <w:rsid w:val="00DB620D"/>
    <w:rsid w:val="00DB70CC"/>
    <w:rsid w:val="00DC0C72"/>
    <w:rsid w:val="00DC325A"/>
    <w:rsid w:val="00DC3543"/>
    <w:rsid w:val="00DC3919"/>
    <w:rsid w:val="00DC3CCE"/>
    <w:rsid w:val="00DC3F2A"/>
    <w:rsid w:val="00DC497A"/>
    <w:rsid w:val="00DC59C8"/>
    <w:rsid w:val="00DC5B41"/>
    <w:rsid w:val="00DC61CF"/>
    <w:rsid w:val="00DC63C8"/>
    <w:rsid w:val="00DC692A"/>
    <w:rsid w:val="00DC6B56"/>
    <w:rsid w:val="00DD04C0"/>
    <w:rsid w:val="00DD054D"/>
    <w:rsid w:val="00DD0C32"/>
    <w:rsid w:val="00DD1E98"/>
    <w:rsid w:val="00DD310F"/>
    <w:rsid w:val="00DD4532"/>
    <w:rsid w:val="00DD4F13"/>
    <w:rsid w:val="00DD5E95"/>
    <w:rsid w:val="00DD6530"/>
    <w:rsid w:val="00DD7AB2"/>
    <w:rsid w:val="00DD7C1C"/>
    <w:rsid w:val="00DE0000"/>
    <w:rsid w:val="00DE0138"/>
    <w:rsid w:val="00DE0CB9"/>
    <w:rsid w:val="00DE128D"/>
    <w:rsid w:val="00DE14E9"/>
    <w:rsid w:val="00DE3573"/>
    <w:rsid w:val="00DE40F9"/>
    <w:rsid w:val="00DE41D6"/>
    <w:rsid w:val="00DE503A"/>
    <w:rsid w:val="00DE51EA"/>
    <w:rsid w:val="00DE6085"/>
    <w:rsid w:val="00DE6F91"/>
    <w:rsid w:val="00DF0346"/>
    <w:rsid w:val="00DF106E"/>
    <w:rsid w:val="00DF1829"/>
    <w:rsid w:val="00DF1FDF"/>
    <w:rsid w:val="00DF2A15"/>
    <w:rsid w:val="00DF2BE2"/>
    <w:rsid w:val="00DF2EE1"/>
    <w:rsid w:val="00DF45B8"/>
    <w:rsid w:val="00DF5A90"/>
    <w:rsid w:val="00DF5AA6"/>
    <w:rsid w:val="00DF5AC7"/>
    <w:rsid w:val="00DF5BEA"/>
    <w:rsid w:val="00DF68E3"/>
    <w:rsid w:val="00DF6B4C"/>
    <w:rsid w:val="00DF706B"/>
    <w:rsid w:val="00DF76F5"/>
    <w:rsid w:val="00DF7EB3"/>
    <w:rsid w:val="00E00221"/>
    <w:rsid w:val="00E00FB0"/>
    <w:rsid w:val="00E013EF"/>
    <w:rsid w:val="00E0151A"/>
    <w:rsid w:val="00E01742"/>
    <w:rsid w:val="00E01958"/>
    <w:rsid w:val="00E031B6"/>
    <w:rsid w:val="00E0478B"/>
    <w:rsid w:val="00E04B27"/>
    <w:rsid w:val="00E04E5E"/>
    <w:rsid w:val="00E052AA"/>
    <w:rsid w:val="00E05429"/>
    <w:rsid w:val="00E05882"/>
    <w:rsid w:val="00E06835"/>
    <w:rsid w:val="00E07303"/>
    <w:rsid w:val="00E07D10"/>
    <w:rsid w:val="00E1015A"/>
    <w:rsid w:val="00E10E67"/>
    <w:rsid w:val="00E11A23"/>
    <w:rsid w:val="00E13AF2"/>
    <w:rsid w:val="00E1402F"/>
    <w:rsid w:val="00E144BC"/>
    <w:rsid w:val="00E14814"/>
    <w:rsid w:val="00E154AA"/>
    <w:rsid w:val="00E158BF"/>
    <w:rsid w:val="00E15AA3"/>
    <w:rsid w:val="00E16260"/>
    <w:rsid w:val="00E16302"/>
    <w:rsid w:val="00E16D18"/>
    <w:rsid w:val="00E17378"/>
    <w:rsid w:val="00E200DF"/>
    <w:rsid w:val="00E2074F"/>
    <w:rsid w:val="00E20F80"/>
    <w:rsid w:val="00E2178E"/>
    <w:rsid w:val="00E225D8"/>
    <w:rsid w:val="00E23BA7"/>
    <w:rsid w:val="00E24306"/>
    <w:rsid w:val="00E26985"/>
    <w:rsid w:val="00E26E74"/>
    <w:rsid w:val="00E27F1A"/>
    <w:rsid w:val="00E30353"/>
    <w:rsid w:val="00E30B98"/>
    <w:rsid w:val="00E30BB7"/>
    <w:rsid w:val="00E31D24"/>
    <w:rsid w:val="00E325B4"/>
    <w:rsid w:val="00E32ABB"/>
    <w:rsid w:val="00E336FF"/>
    <w:rsid w:val="00E34128"/>
    <w:rsid w:val="00E3501D"/>
    <w:rsid w:val="00E356C4"/>
    <w:rsid w:val="00E35D63"/>
    <w:rsid w:val="00E36B47"/>
    <w:rsid w:val="00E37B94"/>
    <w:rsid w:val="00E410BA"/>
    <w:rsid w:val="00E41ABD"/>
    <w:rsid w:val="00E41C6A"/>
    <w:rsid w:val="00E41CFB"/>
    <w:rsid w:val="00E42CD3"/>
    <w:rsid w:val="00E432E5"/>
    <w:rsid w:val="00E435D0"/>
    <w:rsid w:val="00E439F4"/>
    <w:rsid w:val="00E43C42"/>
    <w:rsid w:val="00E43FCA"/>
    <w:rsid w:val="00E4504F"/>
    <w:rsid w:val="00E453E8"/>
    <w:rsid w:val="00E45495"/>
    <w:rsid w:val="00E457D4"/>
    <w:rsid w:val="00E46778"/>
    <w:rsid w:val="00E46CFC"/>
    <w:rsid w:val="00E47392"/>
    <w:rsid w:val="00E47398"/>
    <w:rsid w:val="00E474AB"/>
    <w:rsid w:val="00E47B2A"/>
    <w:rsid w:val="00E50B7E"/>
    <w:rsid w:val="00E519E4"/>
    <w:rsid w:val="00E51A3B"/>
    <w:rsid w:val="00E520AF"/>
    <w:rsid w:val="00E530A6"/>
    <w:rsid w:val="00E53696"/>
    <w:rsid w:val="00E53F38"/>
    <w:rsid w:val="00E541B4"/>
    <w:rsid w:val="00E54D8C"/>
    <w:rsid w:val="00E55821"/>
    <w:rsid w:val="00E55D80"/>
    <w:rsid w:val="00E55F81"/>
    <w:rsid w:val="00E564DE"/>
    <w:rsid w:val="00E56D5B"/>
    <w:rsid w:val="00E57568"/>
    <w:rsid w:val="00E6075D"/>
    <w:rsid w:val="00E60C11"/>
    <w:rsid w:val="00E60D9D"/>
    <w:rsid w:val="00E61B2E"/>
    <w:rsid w:val="00E61BB7"/>
    <w:rsid w:val="00E62899"/>
    <w:rsid w:val="00E6309D"/>
    <w:rsid w:val="00E6410F"/>
    <w:rsid w:val="00E64548"/>
    <w:rsid w:val="00E647AD"/>
    <w:rsid w:val="00E6573B"/>
    <w:rsid w:val="00E65CE3"/>
    <w:rsid w:val="00E66EC2"/>
    <w:rsid w:val="00E67BCA"/>
    <w:rsid w:val="00E67DF8"/>
    <w:rsid w:val="00E703FC"/>
    <w:rsid w:val="00E7073B"/>
    <w:rsid w:val="00E711CA"/>
    <w:rsid w:val="00E7211C"/>
    <w:rsid w:val="00E729E8"/>
    <w:rsid w:val="00E73A0F"/>
    <w:rsid w:val="00E73F50"/>
    <w:rsid w:val="00E7450D"/>
    <w:rsid w:val="00E75490"/>
    <w:rsid w:val="00E76451"/>
    <w:rsid w:val="00E76C55"/>
    <w:rsid w:val="00E7705F"/>
    <w:rsid w:val="00E774B2"/>
    <w:rsid w:val="00E774CB"/>
    <w:rsid w:val="00E776B2"/>
    <w:rsid w:val="00E805DF"/>
    <w:rsid w:val="00E8106D"/>
    <w:rsid w:val="00E82514"/>
    <w:rsid w:val="00E8304E"/>
    <w:rsid w:val="00E838E0"/>
    <w:rsid w:val="00E83A23"/>
    <w:rsid w:val="00E83BDC"/>
    <w:rsid w:val="00E84071"/>
    <w:rsid w:val="00E84AEF"/>
    <w:rsid w:val="00E855FC"/>
    <w:rsid w:val="00E85FAB"/>
    <w:rsid w:val="00E86531"/>
    <w:rsid w:val="00E8661B"/>
    <w:rsid w:val="00E876CB"/>
    <w:rsid w:val="00E87779"/>
    <w:rsid w:val="00E87C30"/>
    <w:rsid w:val="00E87E5C"/>
    <w:rsid w:val="00E90225"/>
    <w:rsid w:val="00E9114A"/>
    <w:rsid w:val="00E91153"/>
    <w:rsid w:val="00E91FD1"/>
    <w:rsid w:val="00E9259F"/>
    <w:rsid w:val="00E9324F"/>
    <w:rsid w:val="00E93609"/>
    <w:rsid w:val="00E93689"/>
    <w:rsid w:val="00E93D04"/>
    <w:rsid w:val="00E945D5"/>
    <w:rsid w:val="00E94B3B"/>
    <w:rsid w:val="00E94C03"/>
    <w:rsid w:val="00E9538B"/>
    <w:rsid w:val="00E95BDF"/>
    <w:rsid w:val="00E96109"/>
    <w:rsid w:val="00E969B9"/>
    <w:rsid w:val="00E96BF6"/>
    <w:rsid w:val="00EA0654"/>
    <w:rsid w:val="00EA17A9"/>
    <w:rsid w:val="00EA2D48"/>
    <w:rsid w:val="00EA3B2A"/>
    <w:rsid w:val="00EA3D46"/>
    <w:rsid w:val="00EA4266"/>
    <w:rsid w:val="00EA5540"/>
    <w:rsid w:val="00EA5A57"/>
    <w:rsid w:val="00EA6008"/>
    <w:rsid w:val="00EA6295"/>
    <w:rsid w:val="00EA6B5F"/>
    <w:rsid w:val="00EB1524"/>
    <w:rsid w:val="00EB289A"/>
    <w:rsid w:val="00EB29F5"/>
    <w:rsid w:val="00EB3305"/>
    <w:rsid w:val="00EB4456"/>
    <w:rsid w:val="00EB454F"/>
    <w:rsid w:val="00EB494B"/>
    <w:rsid w:val="00EB5863"/>
    <w:rsid w:val="00EB6E07"/>
    <w:rsid w:val="00EB6FBC"/>
    <w:rsid w:val="00EB72A1"/>
    <w:rsid w:val="00EB7A2A"/>
    <w:rsid w:val="00EC0CE4"/>
    <w:rsid w:val="00EC1611"/>
    <w:rsid w:val="00EC1987"/>
    <w:rsid w:val="00EC209B"/>
    <w:rsid w:val="00EC47C2"/>
    <w:rsid w:val="00EC4A5B"/>
    <w:rsid w:val="00EC5D60"/>
    <w:rsid w:val="00EC71C7"/>
    <w:rsid w:val="00ED114E"/>
    <w:rsid w:val="00ED4350"/>
    <w:rsid w:val="00ED4400"/>
    <w:rsid w:val="00ED6110"/>
    <w:rsid w:val="00ED695C"/>
    <w:rsid w:val="00ED7F98"/>
    <w:rsid w:val="00EE05EF"/>
    <w:rsid w:val="00EE14C1"/>
    <w:rsid w:val="00EE1E41"/>
    <w:rsid w:val="00EE3E8E"/>
    <w:rsid w:val="00EE5A6B"/>
    <w:rsid w:val="00EE5AC5"/>
    <w:rsid w:val="00EE6387"/>
    <w:rsid w:val="00EE73FD"/>
    <w:rsid w:val="00EE79B3"/>
    <w:rsid w:val="00EF26C1"/>
    <w:rsid w:val="00EF2DA2"/>
    <w:rsid w:val="00EF3AB2"/>
    <w:rsid w:val="00EF4710"/>
    <w:rsid w:val="00EF4727"/>
    <w:rsid w:val="00EF4DA2"/>
    <w:rsid w:val="00EF7105"/>
    <w:rsid w:val="00F01F3F"/>
    <w:rsid w:val="00F0271E"/>
    <w:rsid w:val="00F029ED"/>
    <w:rsid w:val="00F02D9C"/>
    <w:rsid w:val="00F0318B"/>
    <w:rsid w:val="00F037FD"/>
    <w:rsid w:val="00F03D64"/>
    <w:rsid w:val="00F048A4"/>
    <w:rsid w:val="00F04D74"/>
    <w:rsid w:val="00F05FB0"/>
    <w:rsid w:val="00F06D4A"/>
    <w:rsid w:val="00F06DCF"/>
    <w:rsid w:val="00F07369"/>
    <w:rsid w:val="00F11BEB"/>
    <w:rsid w:val="00F11EA9"/>
    <w:rsid w:val="00F1261F"/>
    <w:rsid w:val="00F13519"/>
    <w:rsid w:val="00F13E4A"/>
    <w:rsid w:val="00F14381"/>
    <w:rsid w:val="00F144EE"/>
    <w:rsid w:val="00F1631E"/>
    <w:rsid w:val="00F17075"/>
    <w:rsid w:val="00F171CF"/>
    <w:rsid w:val="00F17AB9"/>
    <w:rsid w:val="00F20E54"/>
    <w:rsid w:val="00F21AC5"/>
    <w:rsid w:val="00F21DEE"/>
    <w:rsid w:val="00F22B04"/>
    <w:rsid w:val="00F22D5F"/>
    <w:rsid w:val="00F238C2"/>
    <w:rsid w:val="00F240AF"/>
    <w:rsid w:val="00F241A4"/>
    <w:rsid w:val="00F24B61"/>
    <w:rsid w:val="00F24C41"/>
    <w:rsid w:val="00F25413"/>
    <w:rsid w:val="00F25831"/>
    <w:rsid w:val="00F26C3B"/>
    <w:rsid w:val="00F27149"/>
    <w:rsid w:val="00F27A5B"/>
    <w:rsid w:val="00F300D0"/>
    <w:rsid w:val="00F313C6"/>
    <w:rsid w:val="00F31B30"/>
    <w:rsid w:val="00F33427"/>
    <w:rsid w:val="00F342BD"/>
    <w:rsid w:val="00F3477F"/>
    <w:rsid w:val="00F34DD6"/>
    <w:rsid w:val="00F35C42"/>
    <w:rsid w:val="00F36DB0"/>
    <w:rsid w:val="00F37199"/>
    <w:rsid w:val="00F372CD"/>
    <w:rsid w:val="00F407E9"/>
    <w:rsid w:val="00F409AA"/>
    <w:rsid w:val="00F415B6"/>
    <w:rsid w:val="00F41B7D"/>
    <w:rsid w:val="00F41F7F"/>
    <w:rsid w:val="00F42E18"/>
    <w:rsid w:val="00F4358B"/>
    <w:rsid w:val="00F4388C"/>
    <w:rsid w:val="00F4413F"/>
    <w:rsid w:val="00F441CF"/>
    <w:rsid w:val="00F45529"/>
    <w:rsid w:val="00F45933"/>
    <w:rsid w:val="00F45F3B"/>
    <w:rsid w:val="00F45FCC"/>
    <w:rsid w:val="00F460A1"/>
    <w:rsid w:val="00F46163"/>
    <w:rsid w:val="00F46E53"/>
    <w:rsid w:val="00F4744E"/>
    <w:rsid w:val="00F52118"/>
    <w:rsid w:val="00F52814"/>
    <w:rsid w:val="00F52EBD"/>
    <w:rsid w:val="00F5339C"/>
    <w:rsid w:val="00F53541"/>
    <w:rsid w:val="00F53AAC"/>
    <w:rsid w:val="00F54057"/>
    <w:rsid w:val="00F54A37"/>
    <w:rsid w:val="00F54E95"/>
    <w:rsid w:val="00F5558E"/>
    <w:rsid w:val="00F5754A"/>
    <w:rsid w:val="00F5786E"/>
    <w:rsid w:val="00F57CCD"/>
    <w:rsid w:val="00F57FD1"/>
    <w:rsid w:val="00F608EF"/>
    <w:rsid w:val="00F60ADE"/>
    <w:rsid w:val="00F611C0"/>
    <w:rsid w:val="00F62438"/>
    <w:rsid w:val="00F6312B"/>
    <w:rsid w:val="00F63134"/>
    <w:rsid w:val="00F64253"/>
    <w:rsid w:val="00F6626B"/>
    <w:rsid w:val="00F677D7"/>
    <w:rsid w:val="00F67FB9"/>
    <w:rsid w:val="00F71295"/>
    <w:rsid w:val="00F728B7"/>
    <w:rsid w:val="00F73768"/>
    <w:rsid w:val="00F7552A"/>
    <w:rsid w:val="00F7739E"/>
    <w:rsid w:val="00F77F1D"/>
    <w:rsid w:val="00F80131"/>
    <w:rsid w:val="00F8037D"/>
    <w:rsid w:val="00F804CA"/>
    <w:rsid w:val="00F806E4"/>
    <w:rsid w:val="00F82FF9"/>
    <w:rsid w:val="00F835F0"/>
    <w:rsid w:val="00F83698"/>
    <w:rsid w:val="00F837C3"/>
    <w:rsid w:val="00F83BBF"/>
    <w:rsid w:val="00F83CBE"/>
    <w:rsid w:val="00F83D39"/>
    <w:rsid w:val="00F85451"/>
    <w:rsid w:val="00F85D45"/>
    <w:rsid w:val="00F85E20"/>
    <w:rsid w:val="00F863CE"/>
    <w:rsid w:val="00F86469"/>
    <w:rsid w:val="00F90291"/>
    <w:rsid w:val="00F90BB4"/>
    <w:rsid w:val="00F91114"/>
    <w:rsid w:val="00F91D3F"/>
    <w:rsid w:val="00F927A5"/>
    <w:rsid w:val="00F9284B"/>
    <w:rsid w:val="00F92D0B"/>
    <w:rsid w:val="00F9336F"/>
    <w:rsid w:val="00F93F42"/>
    <w:rsid w:val="00F943B6"/>
    <w:rsid w:val="00F94E2E"/>
    <w:rsid w:val="00F95179"/>
    <w:rsid w:val="00F954E9"/>
    <w:rsid w:val="00F957D8"/>
    <w:rsid w:val="00F96350"/>
    <w:rsid w:val="00F9694E"/>
    <w:rsid w:val="00F96EBC"/>
    <w:rsid w:val="00FA1448"/>
    <w:rsid w:val="00FA175A"/>
    <w:rsid w:val="00FA21B0"/>
    <w:rsid w:val="00FA2C25"/>
    <w:rsid w:val="00FA2DAF"/>
    <w:rsid w:val="00FA318F"/>
    <w:rsid w:val="00FA3534"/>
    <w:rsid w:val="00FA3BD3"/>
    <w:rsid w:val="00FA40D8"/>
    <w:rsid w:val="00FA44FD"/>
    <w:rsid w:val="00FA4570"/>
    <w:rsid w:val="00FA4ED0"/>
    <w:rsid w:val="00FA63F8"/>
    <w:rsid w:val="00FA676A"/>
    <w:rsid w:val="00FB09DC"/>
    <w:rsid w:val="00FB216A"/>
    <w:rsid w:val="00FB31F8"/>
    <w:rsid w:val="00FB343F"/>
    <w:rsid w:val="00FB3800"/>
    <w:rsid w:val="00FB3E26"/>
    <w:rsid w:val="00FB4772"/>
    <w:rsid w:val="00FB4A98"/>
    <w:rsid w:val="00FB5077"/>
    <w:rsid w:val="00FB5363"/>
    <w:rsid w:val="00FB56AF"/>
    <w:rsid w:val="00FB7A94"/>
    <w:rsid w:val="00FB7C54"/>
    <w:rsid w:val="00FC0194"/>
    <w:rsid w:val="00FC16EF"/>
    <w:rsid w:val="00FC1B41"/>
    <w:rsid w:val="00FC2396"/>
    <w:rsid w:val="00FC32E8"/>
    <w:rsid w:val="00FC38CA"/>
    <w:rsid w:val="00FC4790"/>
    <w:rsid w:val="00FC6C06"/>
    <w:rsid w:val="00FC6FA4"/>
    <w:rsid w:val="00FC7A2E"/>
    <w:rsid w:val="00FD0337"/>
    <w:rsid w:val="00FD0ACF"/>
    <w:rsid w:val="00FD0E42"/>
    <w:rsid w:val="00FD241B"/>
    <w:rsid w:val="00FD2ED7"/>
    <w:rsid w:val="00FD31C2"/>
    <w:rsid w:val="00FD3FBE"/>
    <w:rsid w:val="00FD55E3"/>
    <w:rsid w:val="00FD5F61"/>
    <w:rsid w:val="00FD691B"/>
    <w:rsid w:val="00FD7260"/>
    <w:rsid w:val="00FD78A5"/>
    <w:rsid w:val="00FE0180"/>
    <w:rsid w:val="00FE022E"/>
    <w:rsid w:val="00FE02E6"/>
    <w:rsid w:val="00FE0BB1"/>
    <w:rsid w:val="00FE15D4"/>
    <w:rsid w:val="00FE1761"/>
    <w:rsid w:val="00FE1F05"/>
    <w:rsid w:val="00FE372F"/>
    <w:rsid w:val="00FE3D9E"/>
    <w:rsid w:val="00FE4380"/>
    <w:rsid w:val="00FE456D"/>
    <w:rsid w:val="00FE549C"/>
    <w:rsid w:val="00FE69DD"/>
    <w:rsid w:val="00FE6E6B"/>
    <w:rsid w:val="00FE7274"/>
    <w:rsid w:val="00FE78EC"/>
    <w:rsid w:val="00FF0BD5"/>
    <w:rsid w:val="00FF0DFB"/>
    <w:rsid w:val="00FF1459"/>
    <w:rsid w:val="00FF14EB"/>
    <w:rsid w:val="00FF16E6"/>
    <w:rsid w:val="00FF24BB"/>
    <w:rsid w:val="00FF2FA7"/>
    <w:rsid w:val="00FF467D"/>
    <w:rsid w:val="00FF4A3A"/>
    <w:rsid w:val="00FF4BD1"/>
    <w:rsid w:val="00FF5B38"/>
    <w:rsid w:val="00FF5E63"/>
    <w:rsid w:val="00FF6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EC0C2"/>
  <w15:chartTrackingRefBased/>
  <w15:docId w15:val="{7807E11D-E28B-4182-B9E7-89D99A52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h1">
    <w:name w:val="h1"/>
    <w:basedOn w:val="Normal"/>
    <w:rsid w:val="00812CFF"/>
    <w:pPr>
      <w:spacing w:before="100" w:beforeAutospacing="1" w:after="100" w:afterAutospacing="1"/>
    </w:pPr>
    <w:rPr>
      <w:lang w:eastAsia="en-GB"/>
    </w:rPr>
  </w:style>
  <w:style w:type="paragraph" w:customStyle="1" w:styleId="eMailBlock">
    <w:name w:val="eMailBlock"/>
    <w:basedOn w:val="Title"/>
    <w:rPr>
      <w:sz w:val="26"/>
    </w:rPr>
  </w:style>
  <w:style w:type="paragraph" w:styleId="NormalWeb">
    <w:name w:val="Normal (Web)"/>
    <w:basedOn w:val="Normal"/>
    <w:uiPriority w:val="99"/>
    <w:unhideWhenUsed/>
    <w:rsid w:val="00812CFF"/>
    <w:pPr>
      <w:spacing w:before="100" w:beforeAutospacing="1" w:after="100" w:afterAutospacing="1"/>
    </w:pPr>
    <w:rPr>
      <w:lang w:eastAsia="en-GB"/>
    </w:rPr>
  </w:style>
  <w:style w:type="character" w:styleId="Emphasis">
    <w:name w:val="Emphasis"/>
    <w:uiPriority w:val="20"/>
    <w:qFormat/>
    <w:rsid w:val="00812CFF"/>
    <w:rPr>
      <w:i/>
      <w:iCs/>
    </w:rPr>
  </w:style>
  <w:style w:type="character" w:styleId="Hyperlink">
    <w:name w:val="Hyperlink"/>
    <w:uiPriority w:val="99"/>
    <w:unhideWhenUsed/>
    <w:rsid w:val="00812CFF"/>
    <w:rPr>
      <w:color w:val="0000FF"/>
      <w:u w:val="single"/>
    </w:rPr>
  </w:style>
  <w:style w:type="character" w:customStyle="1" w:styleId="pagenumber">
    <w:name w:val="pagenumber"/>
    <w:rsid w:val="00812CFF"/>
  </w:style>
  <w:style w:type="character" w:styleId="FollowedHyperlink">
    <w:name w:val="FollowedHyperlink"/>
    <w:rsid w:val="004E22F3"/>
    <w:rPr>
      <w:color w:val="954F72"/>
      <w:u w:val="single"/>
    </w:rPr>
  </w:style>
  <w:style w:type="paragraph" w:customStyle="1" w:styleId="footnotedescription">
    <w:name w:val="footnote description"/>
    <w:next w:val="Normal"/>
    <w:link w:val="footnotedescriptionChar"/>
    <w:hidden/>
    <w:rsid w:val="00EF26C1"/>
    <w:pPr>
      <w:spacing w:line="259" w:lineRule="auto"/>
    </w:pPr>
    <w:rPr>
      <w:color w:val="000000"/>
      <w:szCs w:val="22"/>
    </w:rPr>
  </w:style>
  <w:style w:type="character" w:customStyle="1" w:styleId="footnotedescriptionChar">
    <w:name w:val="footnote description Char"/>
    <w:link w:val="footnotedescription"/>
    <w:rsid w:val="00EF26C1"/>
    <w:rPr>
      <w:color w:val="000000"/>
      <w:szCs w:val="22"/>
    </w:rPr>
  </w:style>
  <w:style w:type="character" w:customStyle="1" w:styleId="footnotemark">
    <w:name w:val="footnote mark"/>
    <w:hidden/>
    <w:rsid w:val="00EF26C1"/>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9F60B6"/>
    <w:pPr>
      <w:ind w:left="720"/>
    </w:pPr>
  </w:style>
  <w:style w:type="character" w:styleId="CommentReference">
    <w:name w:val="annotation reference"/>
    <w:uiPriority w:val="99"/>
    <w:unhideWhenUsed/>
    <w:rsid w:val="00420771"/>
    <w:rPr>
      <w:sz w:val="16"/>
      <w:szCs w:val="16"/>
    </w:rPr>
  </w:style>
  <w:style w:type="paragraph" w:styleId="CommentText">
    <w:name w:val="annotation text"/>
    <w:basedOn w:val="Normal"/>
    <w:link w:val="CommentTextChar"/>
    <w:uiPriority w:val="99"/>
    <w:unhideWhenUsed/>
    <w:rsid w:val="00420771"/>
    <w:pPr>
      <w:spacing w:after="4"/>
      <w:ind w:left="368" w:right="53" w:hanging="368"/>
      <w:jc w:val="both"/>
    </w:pPr>
    <w:rPr>
      <w:color w:val="000000"/>
      <w:sz w:val="20"/>
      <w:szCs w:val="20"/>
      <w:lang w:eastAsia="en-GB"/>
    </w:rPr>
  </w:style>
  <w:style w:type="character" w:customStyle="1" w:styleId="CommentTextChar">
    <w:name w:val="Comment Text Char"/>
    <w:link w:val="CommentText"/>
    <w:uiPriority w:val="99"/>
    <w:rsid w:val="00420771"/>
    <w:rPr>
      <w:color w:val="000000"/>
    </w:rPr>
  </w:style>
  <w:style w:type="character" w:customStyle="1" w:styleId="year">
    <w:name w:val="year"/>
    <w:rsid w:val="00274864"/>
  </w:style>
  <w:style w:type="character" w:customStyle="1" w:styleId="vol">
    <w:name w:val="vol"/>
    <w:rsid w:val="00274864"/>
  </w:style>
  <w:style w:type="character" w:customStyle="1" w:styleId="pub">
    <w:name w:val="pub"/>
    <w:rsid w:val="00274864"/>
  </w:style>
  <w:style w:type="character" w:customStyle="1" w:styleId="pages">
    <w:name w:val="pages"/>
    <w:rsid w:val="00274864"/>
  </w:style>
  <w:style w:type="character" w:styleId="UnresolvedMention">
    <w:name w:val="Unresolved Mention"/>
    <w:basedOn w:val="DefaultParagraphFont"/>
    <w:uiPriority w:val="99"/>
    <w:semiHidden/>
    <w:unhideWhenUsed/>
    <w:rsid w:val="00CA1C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6499">
      <w:bodyDiv w:val="1"/>
      <w:marLeft w:val="0"/>
      <w:marRight w:val="0"/>
      <w:marTop w:val="0"/>
      <w:marBottom w:val="0"/>
      <w:divBdr>
        <w:top w:val="none" w:sz="0" w:space="0" w:color="auto"/>
        <w:left w:val="none" w:sz="0" w:space="0" w:color="auto"/>
        <w:bottom w:val="none" w:sz="0" w:space="0" w:color="auto"/>
        <w:right w:val="none" w:sz="0" w:space="0" w:color="auto"/>
      </w:divBdr>
      <w:divsChild>
        <w:div w:id="1927110369">
          <w:marLeft w:val="0"/>
          <w:marRight w:val="0"/>
          <w:marTop w:val="0"/>
          <w:marBottom w:val="0"/>
          <w:divBdr>
            <w:top w:val="none" w:sz="0" w:space="0" w:color="auto"/>
            <w:left w:val="none" w:sz="0" w:space="0" w:color="auto"/>
            <w:bottom w:val="none" w:sz="0" w:space="0" w:color="auto"/>
            <w:right w:val="none" w:sz="0" w:space="0" w:color="auto"/>
          </w:divBdr>
        </w:div>
      </w:divsChild>
    </w:div>
    <w:div w:id="71968721">
      <w:bodyDiv w:val="1"/>
      <w:marLeft w:val="0"/>
      <w:marRight w:val="0"/>
      <w:marTop w:val="0"/>
      <w:marBottom w:val="0"/>
      <w:divBdr>
        <w:top w:val="none" w:sz="0" w:space="0" w:color="auto"/>
        <w:left w:val="none" w:sz="0" w:space="0" w:color="auto"/>
        <w:bottom w:val="none" w:sz="0" w:space="0" w:color="auto"/>
        <w:right w:val="none" w:sz="0" w:space="0" w:color="auto"/>
      </w:divBdr>
    </w:div>
    <w:div w:id="353305489">
      <w:bodyDiv w:val="1"/>
      <w:marLeft w:val="0"/>
      <w:marRight w:val="0"/>
      <w:marTop w:val="0"/>
      <w:marBottom w:val="0"/>
      <w:divBdr>
        <w:top w:val="none" w:sz="0" w:space="0" w:color="auto"/>
        <w:left w:val="none" w:sz="0" w:space="0" w:color="auto"/>
        <w:bottom w:val="none" w:sz="0" w:space="0" w:color="auto"/>
        <w:right w:val="none" w:sz="0" w:space="0" w:color="auto"/>
      </w:divBdr>
      <w:divsChild>
        <w:div w:id="117183003">
          <w:marLeft w:val="0"/>
          <w:marRight w:val="0"/>
          <w:marTop w:val="0"/>
          <w:marBottom w:val="0"/>
          <w:divBdr>
            <w:top w:val="none" w:sz="0" w:space="0" w:color="auto"/>
            <w:left w:val="none" w:sz="0" w:space="0" w:color="auto"/>
            <w:bottom w:val="none" w:sz="0" w:space="0" w:color="auto"/>
            <w:right w:val="none" w:sz="0" w:space="0" w:color="auto"/>
          </w:divBdr>
        </w:div>
      </w:divsChild>
    </w:div>
    <w:div w:id="430785546">
      <w:bodyDiv w:val="1"/>
      <w:marLeft w:val="0"/>
      <w:marRight w:val="0"/>
      <w:marTop w:val="0"/>
      <w:marBottom w:val="0"/>
      <w:divBdr>
        <w:top w:val="none" w:sz="0" w:space="0" w:color="auto"/>
        <w:left w:val="none" w:sz="0" w:space="0" w:color="auto"/>
        <w:bottom w:val="none" w:sz="0" w:space="0" w:color="auto"/>
        <w:right w:val="none" w:sz="0" w:space="0" w:color="auto"/>
      </w:divBdr>
      <w:divsChild>
        <w:div w:id="577398471">
          <w:marLeft w:val="0"/>
          <w:marRight w:val="0"/>
          <w:marTop w:val="0"/>
          <w:marBottom w:val="0"/>
          <w:divBdr>
            <w:top w:val="none" w:sz="0" w:space="0" w:color="auto"/>
            <w:left w:val="none" w:sz="0" w:space="0" w:color="auto"/>
            <w:bottom w:val="none" w:sz="0" w:space="0" w:color="auto"/>
            <w:right w:val="none" w:sz="0" w:space="0" w:color="auto"/>
          </w:divBdr>
        </w:div>
      </w:divsChild>
    </w:div>
    <w:div w:id="723721944">
      <w:bodyDiv w:val="1"/>
      <w:marLeft w:val="0"/>
      <w:marRight w:val="0"/>
      <w:marTop w:val="0"/>
      <w:marBottom w:val="0"/>
      <w:divBdr>
        <w:top w:val="none" w:sz="0" w:space="0" w:color="auto"/>
        <w:left w:val="none" w:sz="0" w:space="0" w:color="auto"/>
        <w:bottom w:val="none" w:sz="0" w:space="0" w:color="auto"/>
        <w:right w:val="none" w:sz="0" w:space="0" w:color="auto"/>
      </w:divBdr>
    </w:div>
    <w:div w:id="731656324">
      <w:bodyDiv w:val="1"/>
      <w:marLeft w:val="0"/>
      <w:marRight w:val="0"/>
      <w:marTop w:val="0"/>
      <w:marBottom w:val="0"/>
      <w:divBdr>
        <w:top w:val="none" w:sz="0" w:space="0" w:color="auto"/>
        <w:left w:val="none" w:sz="0" w:space="0" w:color="auto"/>
        <w:bottom w:val="none" w:sz="0" w:space="0" w:color="auto"/>
        <w:right w:val="none" w:sz="0" w:space="0" w:color="auto"/>
      </w:divBdr>
    </w:div>
    <w:div w:id="802388193">
      <w:bodyDiv w:val="1"/>
      <w:marLeft w:val="0"/>
      <w:marRight w:val="0"/>
      <w:marTop w:val="0"/>
      <w:marBottom w:val="0"/>
      <w:divBdr>
        <w:top w:val="none" w:sz="0" w:space="0" w:color="auto"/>
        <w:left w:val="none" w:sz="0" w:space="0" w:color="auto"/>
        <w:bottom w:val="none" w:sz="0" w:space="0" w:color="auto"/>
        <w:right w:val="none" w:sz="0" w:space="0" w:color="auto"/>
      </w:divBdr>
      <w:divsChild>
        <w:div w:id="720594485">
          <w:marLeft w:val="0"/>
          <w:marRight w:val="0"/>
          <w:marTop w:val="0"/>
          <w:marBottom w:val="0"/>
          <w:divBdr>
            <w:top w:val="none" w:sz="0" w:space="0" w:color="auto"/>
            <w:left w:val="none" w:sz="0" w:space="0" w:color="auto"/>
            <w:bottom w:val="none" w:sz="0" w:space="0" w:color="auto"/>
            <w:right w:val="none" w:sz="0" w:space="0" w:color="auto"/>
          </w:divBdr>
        </w:div>
      </w:divsChild>
    </w:div>
    <w:div w:id="1082025446">
      <w:bodyDiv w:val="1"/>
      <w:marLeft w:val="0"/>
      <w:marRight w:val="0"/>
      <w:marTop w:val="0"/>
      <w:marBottom w:val="0"/>
      <w:divBdr>
        <w:top w:val="none" w:sz="0" w:space="0" w:color="auto"/>
        <w:left w:val="none" w:sz="0" w:space="0" w:color="auto"/>
        <w:bottom w:val="none" w:sz="0" w:space="0" w:color="auto"/>
        <w:right w:val="none" w:sz="0" w:space="0" w:color="auto"/>
      </w:divBdr>
    </w:div>
    <w:div w:id="1093428388">
      <w:bodyDiv w:val="1"/>
      <w:marLeft w:val="0"/>
      <w:marRight w:val="0"/>
      <w:marTop w:val="0"/>
      <w:marBottom w:val="0"/>
      <w:divBdr>
        <w:top w:val="none" w:sz="0" w:space="0" w:color="auto"/>
        <w:left w:val="none" w:sz="0" w:space="0" w:color="auto"/>
        <w:bottom w:val="none" w:sz="0" w:space="0" w:color="auto"/>
        <w:right w:val="none" w:sz="0" w:space="0" w:color="auto"/>
      </w:divBdr>
      <w:divsChild>
        <w:div w:id="1927184214">
          <w:marLeft w:val="0"/>
          <w:marRight w:val="0"/>
          <w:marTop w:val="0"/>
          <w:marBottom w:val="0"/>
          <w:divBdr>
            <w:top w:val="none" w:sz="0" w:space="0" w:color="auto"/>
            <w:left w:val="none" w:sz="0" w:space="0" w:color="auto"/>
            <w:bottom w:val="none" w:sz="0" w:space="0" w:color="auto"/>
            <w:right w:val="none" w:sz="0" w:space="0" w:color="auto"/>
          </w:divBdr>
        </w:div>
      </w:divsChild>
    </w:div>
    <w:div w:id="1113086775">
      <w:bodyDiv w:val="1"/>
      <w:marLeft w:val="0"/>
      <w:marRight w:val="0"/>
      <w:marTop w:val="0"/>
      <w:marBottom w:val="0"/>
      <w:divBdr>
        <w:top w:val="none" w:sz="0" w:space="0" w:color="auto"/>
        <w:left w:val="none" w:sz="0" w:space="0" w:color="auto"/>
        <w:bottom w:val="none" w:sz="0" w:space="0" w:color="auto"/>
        <w:right w:val="none" w:sz="0" w:space="0" w:color="auto"/>
      </w:divBdr>
      <w:divsChild>
        <w:div w:id="358434393">
          <w:marLeft w:val="0"/>
          <w:marRight w:val="0"/>
          <w:marTop w:val="0"/>
          <w:marBottom w:val="0"/>
          <w:divBdr>
            <w:top w:val="none" w:sz="0" w:space="0" w:color="auto"/>
            <w:left w:val="none" w:sz="0" w:space="0" w:color="auto"/>
            <w:bottom w:val="none" w:sz="0" w:space="0" w:color="auto"/>
            <w:right w:val="none" w:sz="0" w:space="0" w:color="auto"/>
          </w:divBdr>
        </w:div>
        <w:div w:id="1902716475">
          <w:marLeft w:val="0"/>
          <w:marRight w:val="0"/>
          <w:marTop w:val="0"/>
          <w:marBottom w:val="0"/>
          <w:divBdr>
            <w:top w:val="none" w:sz="0" w:space="0" w:color="auto"/>
            <w:left w:val="none" w:sz="0" w:space="0" w:color="auto"/>
            <w:bottom w:val="none" w:sz="0" w:space="0" w:color="auto"/>
            <w:right w:val="none" w:sz="0" w:space="0" w:color="auto"/>
          </w:divBdr>
        </w:div>
      </w:divsChild>
    </w:div>
    <w:div w:id="1121418615">
      <w:bodyDiv w:val="1"/>
      <w:marLeft w:val="0"/>
      <w:marRight w:val="0"/>
      <w:marTop w:val="0"/>
      <w:marBottom w:val="0"/>
      <w:divBdr>
        <w:top w:val="none" w:sz="0" w:space="0" w:color="auto"/>
        <w:left w:val="none" w:sz="0" w:space="0" w:color="auto"/>
        <w:bottom w:val="none" w:sz="0" w:space="0" w:color="auto"/>
        <w:right w:val="none" w:sz="0" w:space="0" w:color="auto"/>
      </w:divBdr>
      <w:divsChild>
        <w:div w:id="2133283000">
          <w:marLeft w:val="0"/>
          <w:marRight w:val="0"/>
          <w:marTop w:val="0"/>
          <w:marBottom w:val="0"/>
          <w:divBdr>
            <w:top w:val="none" w:sz="0" w:space="0" w:color="auto"/>
            <w:left w:val="none" w:sz="0" w:space="0" w:color="auto"/>
            <w:bottom w:val="none" w:sz="0" w:space="0" w:color="auto"/>
            <w:right w:val="none" w:sz="0" w:space="0" w:color="auto"/>
          </w:divBdr>
        </w:div>
      </w:divsChild>
    </w:div>
    <w:div w:id="1229611975">
      <w:bodyDiv w:val="1"/>
      <w:marLeft w:val="0"/>
      <w:marRight w:val="0"/>
      <w:marTop w:val="0"/>
      <w:marBottom w:val="0"/>
      <w:divBdr>
        <w:top w:val="none" w:sz="0" w:space="0" w:color="auto"/>
        <w:left w:val="none" w:sz="0" w:space="0" w:color="auto"/>
        <w:bottom w:val="none" w:sz="0" w:space="0" w:color="auto"/>
        <w:right w:val="none" w:sz="0" w:space="0" w:color="auto"/>
      </w:divBdr>
      <w:divsChild>
        <w:div w:id="302739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759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6861028">
      <w:bodyDiv w:val="1"/>
      <w:marLeft w:val="0"/>
      <w:marRight w:val="0"/>
      <w:marTop w:val="0"/>
      <w:marBottom w:val="0"/>
      <w:divBdr>
        <w:top w:val="none" w:sz="0" w:space="0" w:color="auto"/>
        <w:left w:val="none" w:sz="0" w:space="0" w:color="auto"/>
        <w:bottom w:val="none" w:sz="0" w:space="0" w:color="auto"/>
        <w:right w:val="none" w:sz="0" w:space="0" w:color="auto"/>
      </w:divBdr>
      <w:divsChild>
        <w:div w:id="543442314">
          <w:marLeft w:val="0"/>
          <w:marRight w:val="0"/>
          <w:marTop w:val="0"/>
          <w:marBottom w:val="0"/>
          <w:divBdr>
            <w:top w:val="none" w:sz="0" w:space="0" w:color="auto"/>
            <w:left w:val="none" w:sz="0" w:space="0" w:color="auto"/>
            <w:bottom w:val="none" w:sz="0" w:space="0" w:color="auto"/>
            <w:right w:val="none" w:sz="0" w:space="0" w:color="auto"/>
          </w:divBdr>
        </w:div>
      </w:divsChild>
    </w:div>
    <w:div w:id="1615745695">
      <w:bodyDiv w:val="1"/>
      <w:marLeft w:val="0"/>
      <w:marRight w:val="0"/>
      <w:marTop w:val="0"/>
      <w:marBottom w:val="0"/>
      <w:divBdr>
        <w:top w:val="none" w:sz="0" w:space="0" w:color="auto"/>
        <w:left w:val="none" w:sz="0" w:space="0" w:color="auto"/>
        <w:bottom w:val="none" w:sz="0" w:space="0" w:color="auto"/>
        <w:right w:val="none" w:sz="0" w:space="0" w:color="auto"/>
      </w:divBdr>
    </w:div>
    <w:div w:id="1617638982">
      <w:bodyDiv w:val="1"/>
      <w:marLeft w:val="0"/>
      <w:marRight w:val="0"/>
      <w:marTop w:val="0"/>
      <w:marBottom w:val="0"/>
      <w:divBdr>
        <w:top w:val="none" w:sz="0" w:space="0" w:color="auto"/>
        <w:left w:val="none" w:sz="0" w:space="0" w:color="auto"/>
        <w:bottom w:val="none" w:sz="0" w:space="0" w:color="auto"/>
        <w:right w:val="none" w:sz="0" w:space="0" w:color="auto"/>
      </w:divBdr>
    </w:div>
    <w:div w:id="1794329242">
      <w:bodyDiv w:val="1"/>
      <w:marLeft w:val="0"/>
      <w:marRight w:val="0"/>
      <w:marTop w:val="0"/>
      <w:marBottom w:val="0"/>
      <w:divBdr>
        <w:top w:val="none" w:sz="0" w:space="0" w:color="auto"/>
        <w:left w:val="none" w:sz="0" w:space="0" w:color="auto"/>
        <w:bottom w:val="none" w:sz="0" w:space="0" w:color="auto"/>
        <w:right w:val="none" w:sz="0" w:space="0" w:color="auto"/>
      </w:divBdr>
      <w:divsChild>
        <w:div w:id="1111972429">
          <w:marLeft w:val="0"/>
          <w:marRight w:val="0"/>
          <w:marTop w:val="0"/>
          <w:marBottom w:val="0"/>
          <w:divBdr>
            <w:top w:val="none" w:sz="0" w:space="0" w:color="auto"/>
            <w:left w:val="none" w:sz="0" w:space="0" w:color="auto"/>
            <w:bottom w:val="none" w:sz="0" w:space="0" w:color="auto"/>
            <w:right w:val="none" w:sz="0" w:space="0" w:color="auto"/>
          </w:divBdr>
        </w:div>
      </w:divsChild>
    </w:div>
    <w:div w:id="2003192566">
      <w:bodyDiv w:val="1"/>
      <w:marLeft w:val="0"/>
      <w:marRight w:val="0"/>
      <w:marTop w:val="0"/>
      <w:marBottom w:val="0"/>
      <w:divBdr>
        <w:top w:val="none" w:sz="0" w:space="0" w:color="auto"/>
        <w:left w:val="none" w:sz="0" w:space="0" w:color="auto"/>
        <w:bottom w:val="none" w:sz="0" w:space="0" w:color="auto"/>
        <w:right w:val="none" w:sz="0" w:space="0" w:color="auto"/>
      </w:divBdr>
    </w:div>
    <w:div w:id="2061132296">
      <w:bodyDiv w:val="1"/>
      <w:marLeft w:val="0"/>
      <w:marRight w:val="0"/>
      <w:marTop w:val="0"/>
      <w:marBottom w:val="0"/>
      <w:divBdr>
        <w:top w:val="none" w:sz="0" w:space="0" w:color="auto"/>
        <w:left w:val="none" w:sz="0" w:space="0" w:color="auto"/>
        <w:bottom w:val="none" w:sz="0" w:space="0" w:color="auto"/>
        <w:right w:val="none" w:sz="0" w:space="0" w:color="auto"/>
      </w:divBdr>
    </w:div>
    <w:div w:id="21264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2" ma:contentTypeDescription="Create a new document." ma:contentTypeScope="" ma:versionID="2357229c32ee371f9c75749b5eb853fa">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4e212abd0e5a0a497b63b4570ce9ebb8"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BEA973B-7EEF-45BB-985D-6FC7C0E12E02}">
  <ds:schemaRefs>
    <ds:schemaRef ds:uri="http://schemas.microsoft.com/sharepoint/v3/contenttype/forms"/>
  </ds:schemaRefs>
</ds:datastoreItem>
</file>

<file path=customXml/itemProps2.xml><?xml version="1.0" encoding="utf-8"?>
<ds:datastoreItem xmlns:ds="http://schemas.openxmlformats.org/officeDocument/2006/customXml" ds:itemID="{4D1B88C0-2C17-4948-A131-62EF7FDC7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76E31-81D3-4CF4-87B5-DA15D5E487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3c54ca-90c5-4eb2-9b56-d69f0a03b442"/>
    <ds:schemaRef ds:uri="36d64681-489a-459f-a53c-1f862f465b6d"/>
    <ds:schemaRef ds:uri="http://www.w3.org/XML/1998/namespace"/>
    <ds:schemaRef ds:uri="http://purl.org/dc/dcmitype/"/>
  </ds:schemaRefs>
</ds:datastoreItem>
</file>

<file path=customXml/itemProps4.xml><?xml version="1.0" encoding="utf-8"?>
<ds:datastoreItem xmlns:ds="http://schemas.openxmlformats.org/officeDocument/2006/customXml" ds:itemID="{ED7C1113-DC98-4706-8FAF-9D9ACF04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Template>
  <TotalTime>66</TotalTime>
  <Pages>36</Pages>
  <Words>17588</Words>
  <Characters>90778</Characters>
  <Application>Microsoft Office Word</Application>
  <DocSecurity>0</DocSecurity>
  <Lines>756</Lines>
  <Paragraphs>216</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108150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Lloyd, Amanda (RCJ)</cp:lastModifiedBy>
  <cp:revision>19</cp:revision>
  <cp:lastPrinted>2003-02-01T12:12:00Z</cp:lastPrinted>
  <dcterms:created xsi:type="dcterms:W3CDTF">2020-07-30T14:22:00Z</dcterms:created>
  <dcterms:modified xsi:type="dcterms:W3CDTF">2020-07-30T17:37:00Z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CaseNum">
    <vt:lpwstr>CO/4609/2019</vt:lpwstr>
  </property>
  <property fmtid="{D5CDD505-2E9C-101B-9397-08002B2CF9AE}" pid="9" name="NCJudge">
    <vt:lpwstr>MRS JUSTICE EADY DBE</vt:lpwstr>
  </property>
  <property fmtid="{D5CDD505-2E9C-101B-9397-08002B2CF9AE}" pid="10" name="ContentTypeId">
    <vt:lpwstr>0x010100838D71330B0C2549B31E9CAA61AC1BC3</vt:lpwstr>
  </property>
  <property fmtid="{D5CDD505-2E9C-101B-9397-08002B2CF9AE}" pid="11" name="NCJudgeDate">
    <vt:lpwstr>31/07/2020</vt:lpwstr>
  </property>
  <property fmtid="{D5CDD505-2E9C-101B-9397-08002B2CF9AE}" pid="12" name="NCCaseTitle">
    <vt:lpwstr>HARRISON V LINCOLNSHIRE COUNTY COUNCIL &amp; OTHERS</vt:lpwstr>
  </property>
  <property fmtid="{D5CDD505-2E9C-101B-9397-08002B2CF9AE}" pid="13" name="NCNumber">
    <vt:lpwstr>[2020] EWHC 2096 (Admin)</vt:lpwstr>
  </property>
</Properties>
</file>