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TRAINING APPLICATION FORM</w:t>
        <w:br w:type="textWrapping"/>
        <w:t xml:space="preserve">(Additional Ceremonies)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Thank you for your interest in training in an additional ceremony type. Please type your answers in the spaces provided and return your application to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ceremonies-recruitment@humanists.uk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Your details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Layout w:type="fixed"/>
        <w:tblLook w:val="0000"/>
      </w:tblPr>
      <w:tblGrid>
        <w:gridCol w:w="2190"/>
        <w:gridCol w:w="6450"/>
        <w:tblGridChange w:id="0">
          <w:tblGrid>
            <w:gridCol w:w="2190"/>
            <w:gridCol w:w="6450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Preferred name - e.g. nickname, etc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Pronouns (optional)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Phone number(s)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Humanists UK membership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Ceremony Type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Which ceremony type would you like to train in first?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You can check which of our courses are currently open for applications on our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Courses &amp; Fees page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3.0" w:type="dxa"/>
        <w:jc w:val="center"/>
        <w:tblLayout w:type="fixed"/>
        <w:tblLook w:val="0000"/>
      </w:tblPr>
      <w:tblGrid>
        <w:gridCol w:w="7470"/>
        <w:gridCol w:w="1303"/>
        <w:tblGridChange w:id="0">
          <w:tblGrid>
            <w:gridCol w:w="7470"/>
            <w:gridCol w:w="1303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ind w:left="-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Your preference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Funerals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Upcoming Courses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et us know which of the courses below you are able to attend, numbered in order of preference up to a maximum of three.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Our screening process can take up to one month to complete, so please take this into account when making your choices.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t3h5sf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If you are not able to attend any of the dates listed below, please indicate this with an ‘X’ in the ‘Future Courses’ section of the list.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Unless otherwise indicated, 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ll residential elements of our training will be held at University of Warwick Conference Centre, Warwick, CV4 7SH.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you find part-way through a course that you are unable to continue due to unforeseen circumstances, please refer to our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policy on deferrals and withdrawals which can be found at the end of this application form.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58.0" w:type="dxa"/>
        <w:jc w:val="center"/>
        <w:tblLayout w:type="fixed"/>
        <w:tblLook w:val="0000"/>
      </w:tblPr>
      <w:tblGrid>
        <w:gridCol w:w="1350"/>
        <w:gridCol w:w="6105"/>
        <w:gridCol w:w="1303"/>
        <w:tblGridChange w:id="0">
          <w:tblGrid>
            <w:gridCol w:w="1350"/>
            <w:gridCol w:w="6105"/>
            <w:gridCol w:w="130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Available Upcoming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Your preference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2025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Namings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Namings Winter – Online &amp; Residential</w:t>
            </w:r>
          </w:p>
          <w:p w:rsidR="00000000" w:rsidDel="00000000" w:rsidP="00000000" w:rsidRDefault="00000000" w:rsidRPr="00000000" w14:paraId="00000033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24 October (Online)</w:t>
            </w:r>
          </w:p>
          <w:p w:rsidR="00000000" w:rsidDel="00000000" w:rsidP="00000000" w:rsidRDefault="00000000" w:rsidRPr="00000000" w14:paraId="00000034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22 &amp; Sunday 23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2026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Funerals Winter – Online &amp; Residential</w:t>
            </w:r>
          </w:p>
          <w:p w:rsidR="00000000" w:rsidDel="00000000" w:rsidP="00000000" w:rsidRDefault="00000000" w:rsidRPr="00000000" w14:paraId="0000003B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12 December 2025 (Online)</w:t>
            </w:r>
          </w:p>
          <w:p w:rsidR="00000000" w:rsidDel="00000000" w:rsidP="00000000" w:rsidRDefault="00000000" w:rsidRPr="00000000" w14:paraId="0000003C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17 &amp; Sunday 18 January 2026 (Residential)</w:t>
            </w:r>
          </w:p>
          <w:p w:rsidR="00000000" w:rsidDel="00000000" w:rsidP="00000000" w:rsidRDefault="00000000" w:rsidRPr="00000000" w14:paraId="0000003D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13 &amp; Saturday 14 February 2026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Weddings Spring A – Online &amp; Residential</w:t>
            </w:r>
          </w:p>
          <w:p w:rsidR="00000000" w:rsidDel="00000000" w:rsidP="00000000" w:rsidRDefault="00000000" w:rsidRPr="00000000" w14:paraId="00000041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9 January (Online)</w:t>
            </w:r>
          </w:p>
          <w:p w:rsidR="00000000" w:rsidDel="00000000" w:rsidP="00000000" w:rsidRDefault="00000000" w:rsidRPr="00000000" w14:paraId="00000042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7 &amp; Sunday 8 February (Residential)</w:t>
            </w:r>
          </w:p>
          <w:p w:rsidR="00000000" w:rsidDel="00000000" w:rsidP="00000000" w:rsidRDefault="00000000" w:rsidRPr="00000000" w14:paraId="00000043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7 &amp; Sunday 8 March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Weddings Spring B – Online &amp; Residential</w:t>
            </w:r>
          </w:p>
          <w:p w:rsidR="00000000" w:rsidDel="00000000" w:rsidP="00000000" w:rsidRDefault="00000000" w:rsidRPr="00000000" w14:paraId="00000047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27 March (Online)</w:t>
            </w:r>
          </w:p>
          <w:p w:rsidR="00000000" w:rsidDel="00000000" w:rsidP="00000000" w:rsidRDefault="00000000" w:rsidRPr="00000000" w14:paraId="00000048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25 &amp; Sunday 26 April (Residential)</w:t>
            </w:r>
          </w:p>
          <w:p w:rsidR="00000000" w:rsidDel="00000000" w:rsidP="00000000" w:rsidRDefault="00000000" w:rsidRPr="00000000" w14:paraId="00000049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30 &amp; Sunday 31 May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Funerals Spring  – Online &amp; Residential</w:t>
            </w:r>
          </w:p>
          <w:p w:rsidR="00000000" w:rsidDel="00000000" w:rsidP="00000000" w:rsidRDefault="00000000" w:rsidRPr="00000000" w14:paraId="0000004D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10 April (Online)</w:t>
            </w:r>
          </w:p>
          <w:p w:rsidR="00000000" w:rsidDel="00000000" w:rsidP="00000000" w:rsidRDefault="00000000" w:rsidRPr="00000000" w14:paraId="0000004E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9 &amp; Sunday 10 May (Residential)</w:t>
            </w:r>
          </w:p>
          <w:p w:rsidR="00000000" w:rsidDel="00000000" w:rsidP="00000000" w:rsidRDefault="00000000" w:rsidRPr="00000000" w14:paraId="0000004F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5 &amp; Saturday 6 June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Weddings Summer  – Online &amp; Residential</w:t>
            </w:r>
          </w:p>
          <w:p w:rsidR="00000000" w:rsidDel="00000000" w:rsidP="00000000" w:rsidRDefault="00000000" w:rsidRPr="00000000" w14:paraId="00000053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12 June (Online)</w:t>
            </w:r>
          </w:p>
          <w:p w:rsidR="00000000" w:rsidDel="00000000" w:rsidP="00000000" w:rsidRDefault="00000000" w:rsidRPr="00000000" w14:paraId="00000054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11 &amp; Sunday 12 July (Residential)</w:t>
            </w:r>
          </w:p>
          <w:p w:rsidR="00000000" w:rsidDel="00000000" w:rsidP="00000000" w:rsidRDefault="00000000" w:rsidRPr="00000000" w14:paraId="00000055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8 &amp; Sunday 9 August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Funerals Summer – Online &amp; Residential</w:t>
            </w:r>
          </w:p>
          <w:p w:rsidR="00000000" w:rsidDel="00000000" w:rsidP="00000000" w:rsidRDefault="00000000" w:rsidRPr="00000000" w14:paraId="00000059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26 June (Online)</w:t>
            </w:r>
          </w:p>
          <w:p w:rsidR="00000000" w:rsidDel="00000000" w:rsidP="00000000" w:rsidRDefault="00000000" w:rsidRPr="00000000" w14:paraId="0000005A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25 &amp; Sunday 26 July (Residential)</w:t>
            </w:r>
          </w:p>
          <w:p w:rsidR="00000000" w:rsidDel="00000000" w:rsidP="00000000" w:rsidRDefault="00000000" w:rsidRPr="00000000" w14:paraId="0000005B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4 &amp; Saturday 5 September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Weddings Autumn – Online &amp; Residential</w:t>
            </w:r>
          </w:p>
          <w:p w:rsidR="00000000" w:rsidDel="00000000" w:rsidP="00000000" w:rsidRDefault="00000000" w:rsidRPr="00000000" w14:paraId="0000005F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11 September (Online)</w:t>
            </w:r>
          </w:p>
          <w:p w:rsidR="00000000" w:rsidDel="00000000" w:rsidP="00000000" w:rsidRDefault="00000000" w:rsidRPr="00000000" w14:paraId="00000060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10 &amp; Sunday 11 October (Residential)</w:t>
            </w:r>
          </w:p>
          <w:p w:rsidR="00000000" w:rsidDel="00000000" w:rsidP="00000000" w:rsidRDefault="00000000" w:rsidRPr="00000000" w14:paraId="00000061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7 &amp; Sunday 8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Funerals Autumn – Online &amp; Residential</w:t>
            </w:r>
          </w:p>
          <w:p w:rsidR="00000000" w:rsidDel="00000000" w:rsidP="00000000" w:rsidRDefault="00000000" w:rsidRPr="00000000" w14:paraId="00000065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25 September (Online)</w:t>
            </w:r>
          </w:p>
          <w:p w:rsidR="00000000" w:rsidDel="00000000" w:rsidP="00000000" w:rsidRDefault="00000000" w:rsidRPr="00000000" w14:paraId="00000066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24 &amp; Sunday 25 October (Residential)</w:t>
            </w:r>
          </w:p>
          <w:p w:rsidR="00000000" w:rsidDel="00000000" w:rsidP="00000000" w:rsidRDefault="00000000" w:rsidRPr="00000000" w14:paraId="00000067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20 &amp; Saturday 21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120"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Weddings Winter (Northern Ireland only) – Online &amp; Residential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(Venue to be confirmed)</w:t>
            </w:r>
          </w:p>
          <w:p w:rsidR="00000000" w:rsidDel="00000000" w:rsidP="00000000" w:rsidRDefault="00000000" w:rsidRPr="00000000" w14:paraId="0000006B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 October (Online)</w:t>
            </w:r>
          </w:p>
          <w:p w:rsidR="00000000" w:rsidDel="00000000" w:rsidP="00000000" w:rsidRDefault="00000000" w:rsidRPr="00000000" w14:paraId="0000006C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31 October &amp; Sunday 1 November (Residential)</w:t>
            </w:r>
          </w:p>
          <w:p w:rsidR="00000000" w:rsidDel="00000000" w:rsidP="00000000" w:rsidRDefault="00000000" w:rsidRPr="00000000" w14:paraId="0000006D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28 &amp; Sunday 29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Namings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Namings Winter – Online &amp; Residential</w:t>
            </w:r>
          </w:p>
          <w:p w:rsidR="00000000" w:rsidDel="00000000" w:rsidP="00000000" w:rsidRDefault="00000000" w:rsidRPr="00000000" w14:paraId="00000071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16 October (Online)</w:t>
            </w:r>
          </w:p>
          <w:p w:rsidR="00000000" w:rsidDel="00000000" w:rsidP="00000000" w:rsidRDefault="00000000" w:rsidRPr="00000000" w14:paraId="00000072">
            <w:pPr>
              <w:ind w:left="1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14 &amp; Sunday 15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Future Courses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cannot attend the above listed courses and would therefore prefer to be waitlisted for future course dates as and when they are planned.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ind w:left="43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Please answer the following questions as fully as possible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Tell us in between 200-400 words why you want to train in this additional ceremony type.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you/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have any difficulty or disability we should take into account when planning either the screening interview, or the training?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We try to ensure all our training venues are accessible, but please indicate if you have trouble climbing stairs. For the screening interview we usually use Zoom, or a similar video conferencing platform. Are there any adjustments we can make to facilitate the interview?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If none, please write ‘None’.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If possible, do you wish to have the same mentor as you used for previous training?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and, if yes, provide their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55g91cpf9r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r9d3lj15qbps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5gt8r30mwv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bgrvq9mezide" w:id="8"/>
      <w:bookmarkEnd w:id="8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If you have answered ‘Yes’,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please provide your mentor’s name: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uu73432vxcx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dc0cb7d1hzy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Bursary scheme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Humanists UK may be able to give eligible candidates a bursary towards the cost of a ceremonies training course. For more information and an application form please see the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ceremonies training pages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of our website.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Yes - I am submitting a bursary application form with my training application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 - I am not requesting a bursary.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Please read and confirm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will have to pass each stage successfully before being allowed to proceed.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Fees paid are non-refundable.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Receiving training does not guarantee me any particular number of ceremonies to perform.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will be required to sign a code of conduct governing my performance of ceremonies and that in the event of breach of the code of conduct my accreditation may be withdrawn.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declare that I have not had a Category 3 complaint upheld against me in the past year, I am not subject to any remedial action as a result of a ceremonies complaint, and nor are any complaints currently being investigated against 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declare that I have no unspent criminal convictions and am not subject to any pending prosecutions.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znysh7" w:id="11"/>
      <w:bookmarkEnd w:id="11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Deferrals and Withdrawals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Once a ceremonies training course has started a trainee may ask for a deferral to a later course only for unforeseeable and exceptional reasons.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Trainees have the right to withdraw from courses at any time. If they do withdraw but wish to continue the training at a later date, they will be expected to start at the beginning of the training and will need to pay the full fee. The non-refundable deposit from the original training will be kept.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(If you have any questions regarding this policy, please contact us at the email address provided at the end of this form.)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I,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rtl w:val="0"/>
        </w:rPr>
        <w:t xml:space="preserve">[please print/type name]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, understand all of the above and would like to apply for Humanist Ceremonies training.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DD/MM/YYYY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Please return this form electronically to: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ceremonies-recruitment@humanists.uk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850" w:top="850" w:left="1440" w:right="1440" w:header="570" w:footer="103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2833688</wp:posOffset>
          </wp:positionH>
          <wp:positionV relativeFrom="page">
            <wp:posOffset>85725</wp:posOffset>
          </wp:positionV>
          <wp:extent cx="1594012" cy="761844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306" r="3305" t="0"/>
                  <a:stretch>
                    <a:fillRect/>
                  </a:stretch>
                </pic:blipFill>
                <pic:spPr>
                  <a:xfrm>
                    <a:off x="0" y="0"/>
                    <a:ext cx="1594012" cy="7618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</w:rPr>
    </w:lvl>
    <w:lvl w:ilvl="2">
      <w:start w:val="1"/>
      <w:numFmt w:val="lowerRoman"/>
      <w:lvlText w:val="%3."/>
      <w:lvlJc w:val="left"/>
      <w:pPr>
        <w:ind w:left="1800" w:hanging="302"/>
      </w:pPr>
      <w:rPr>
        <w:smallCaps w:val="0"/>
        <w:strike w:val="0"/>
        <w:shd w:fill="auto" w:val="clear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</w:rPr>
    </w:lvl>
    <w:lvl w:ilvl="5">
      <w:start w:val="1"/>
      <w:numFmt w:val="lowerRoman"/>
      <w:lvlText w:val="%6."/>
      <w:lvlJc w:val="left"/>
      <w:pPr>
        <w:ind w:left="3960" w:hanging="302"/>
      </w:pPr>
      <w:rPr>
        <w:smallCaps w:val="0"/>
        <w:strike w:val="0"/>
        <w:shd w:fill="auto" w:val="clear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</w:rPr>
    </w:lvl>
    <w:lvl w:ilvl="8">
      <w:start w:val="1"/>
      <w:numFmt w:val="lowerRoman"/>
      <w:lvlText w:val="%9."/>
      <w:lvlJc w:val="left"/>
      <w:pPr>
        <w:ind w:left="6120" w:hanging="302"/>
      </w:pPr>
      <w:rPr>
        <w:smallCaps w:val="0"/>
        <w:strike w:val="0"/>
        <w:shd w:fill="auto" w:val="clear"/>
      </w:r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hd w:fill="auto" w:val="clear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hd w:fill="auto" w:val="clear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hd w:fill="auto" w:val="clear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hd w:fill="auto" w:val="clear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hd w:fill="auto" w:val="clear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hd w:fill="auto" w:val="clear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hd w:fill="auto" w:val="clear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hd w:fill="auto" w:val="clear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hd w:fill="auto" w:val="clear"/>
      </w:rPr>
    </w:lvl>
  </w:abstractNum>
  <w:abstractNum w:abstractNumId="3">
    <w:lvl w:ilvl="0">
      <w:start w:val="5"/>
      <w:numFmt w:val="decimal"/>
      <w:lvlText w:val="%1."/>
      <w:lvlJc w:val="left"/>
      <w:pPr>
        <w:ind w:left="360" w:hanging="360"/>
      </w:pPr>
      <w:rPr>
        <w:smallCap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</w:rPr>
    </w:lvl>
    <w:lvl w:ilvl="2">
      <w:start w:val="1"/>
      <w:numFmt w:val="lowerRoman"/>
      <w:lvlText w:val="%3."/>
      <w:lvlJc w:val="left"/>
      <w:pPr>
        <w:ind w:left="1800" w:hanging="302"/>
      </w:pPr>
      <w:rPr>
        <w:smallCaps w:val="0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</w:rPr>
    </w:lvl>
    <w:lvl w:ilvl="5">
      <w:start w:val="1"/>
      <w:numFmt w:val="lowerRoman"/>
      <w:lvlText w:val="%6."/>
      <w:lvlJc w:val="left"/>
      <w:pPr>
        <w:ind w:left="3960" w:hanging="302"/>
      </w:pPr>
      <w:rPr>
        <w:smallCaps w:val="0"/>
        <w:strike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</w:rPr>
    </w:lvl>
    <w:lvl w:ilvl="8">
      <w:start w:val="1"/>
      <w:numFmt w:val="lowerRoman"/>
      <w:lvlText w:val="%9."/>
      <w:lvlJc w:val="left"/>
      <w:pPr>
        <w:ind w:left="6120" w:hanging="302"/>
      </w:pPr>
      <w:rPr>
        <w:smallCaps w:val="0"/>
        <w:strike w:val="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ceremonies-recruitment@humanists.uk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manists.uk/ceremonies/training-to-be-a-humanist-celebrant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remonies-recruitment@humanists.uk" TargetMode="External"/><Relationship Id="rId8" Type="http://schemas.openxmlformats.org/officeDocument/2006/relationships/hyperlink" Target="https://humanism.org.uk/ceremonies/training-to-be-a-humanist-celebrant/course-fees-and-dat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KfwFYvi5ksJu3NA8FPyN2O52w==">CgMxLjAyCGguZ2pkZ3hzMgloLjMwajB6bGwyCWguMWZvYjl0ZTIJaC4xdDNoNXNmMgloLjJldDkycDAyDmguNzU1ZzkxY3BmOXJnMg5oLnI5ZDNsajE1cWJwczIOaC43NWd0OHIzMG13dmYyDmguYmdydnE5bWV6aWRlMg5oLnV1NzM0MzJ2eGN4YzIOaC5kYzBjYjdkMWh6eWIyCWguM3pueXNoNzgAciExZzEzQk9PSVJSWXNRbkg4YlJ2SFU4Ml94STFmU3VRdnM=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2023-05-05T13:56:00Z</dcterms:created>
</cp:coreProperties>
</file>